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43692D" w:rsidRDefault="006E4F8A">
      <w:pPr>
        <w:spacing w:after="0" w:line="240" w:lineRule="auto"/>
        <w:rPr>
          <w:b/>
          <w:bCs/>
          <w:sz w:val="24"/>
          <w:szCs w:val="24"/>
        </w:rPr>
      </w:pPr>
      <w:r>
        <w:rPr>
          <w:b/>
          <w:bCs/>
          <w:sz w:val="24"/>
          <w:szCs w:val="24"/>
        </w:rPr>
        <w:t xml:space="preserve">МИНИСТАРСТВУ ЗАШТИТЕ ЖИВОТНЕ СРЕДИНЕ </w:t>
      </w:r>
    </w:p>
    <w:p w14:paraId="00000003" w14:textId="77777777" w:rsidR="0043692D" w:rsidRDefault="006E4F8A">
      <w:pPr>
        <w:spacing w:after="0" w:line="240" w:lineRule="auto"/>
        <w:rPr>
          <w:sz w:val="24"/>
          <w:szCs w:val="24"/>
        </w:rPr>
      </w:pPr>
      <w:r>
        <w:rPr>
          <w:sz w:val="24"/>
          <w:szCs w:val="24"/>
        </w:rPr>
        <w:t xml:space="preserve">преко </w:t>
      </w:r>
    </w:p>
    <w:p w14:paraId="00000004" w14:textId="77777777" w:rsidR="0043692D" w:rsidRDefault="006E4F8A">
      <w:pPr>
        <w:spacing w:after="0" w:line="240" w:lineRule="auto"/>
        <w:rPr>
          <w:sz w:val="24"/>
          <w:szCs w:val="24"/>
        </w:rPr>
      </w:pPr>
      <w:r>
        <w:rPr>
          <w:sz w:val="24"/>
          <w:szCs w:val="24"/>
        </w:rPr>
        <w:t xml:space="preserve">Секретаријата за заштиту животне средине </w:t>
      </w:r>
    </w:p>
    <w:p w14:paraId="00000005" w14:textId="77777777" w:rsidR="0043692D" w:rsidRDefault="006E4F8A">
      <w:pPr>
        <w:spacing w:after="0" w:line="240" w:lineRule="auto"/>
        <w:rPr>
          <w:sz w:val="24"/>
          <w:szCs w:val="24"/>
        </w:rPr>
      </w:pPr>
      <w:r>
        <w:rPr>
          <w:sz w:val="24"/>
          <w:szCs w:val="24"/>
        </w:rPr>
        <w:t xml:space="preserve">Градске управе града Београда </w:t>
      </w:r>
    </w:p>
    <w:p w14:paraId="00000006" w14:textId="77777777" w:rsidR="0043692D" w:rsidRDefault="006E4F8A">
      <w:pPr>
        <w:spacing w:after="0" w:line="240" w:lineRule="auto"/>
        <w:rPr>
          <w:sz w:val="24"/>
          <w:szCs w:val="24"/>
        </w:rPr>
      </w:pPr>
      <w:r>
        <w:rPr>
          <w:sz w:val="24"/>
          <w:szCs w:val="24"/>
        </w:rPr>
        <w:t>Краљице Марије 1/XVI</w:t>
      </w:r>
    </w:p>
    <w:p w14:paraId="00000007" w14:textId="26A03251" w:rsidR="0043692D" w:rsidRDefault="006E4F8A">
      <w:pPr>
        <w:spacing w:after="0" w:line="240" w:lineRule="auto"/>
        <w:rPr>
          <w:b/>
          <w:bCs/>
          <w:sz w:val="24"/>
          <w:szCs w:val="24"/>
          <w:lang w:val="sr-Cyrl-RS"/>
        </w:rPr>
      </w:pPr>
      <w:r>
        <w:rPr>
          <w:sz w:val="24"/>
          <w:szCs w:val="24"/>
        </w:rPr>
        <w:t>11000 Београд</w:t>
      </w:r>
      <w:r>
        <w:br/>
      </w:r>
      <w:r>
        <w:br/>
      </w:r>
      <w:r w:rsidR="00C23228">
        <w:rPr>
          <w:b/>
          <w:bCs/>
          <w:sz w:val="24"/>
          <w:szCs w:val="24"/>
          <w:lang w:val="sr-Cyrl-RS"/>
        </w:rPr>
        <w:t>ВЕЗА</w:t>
      </w:r>
      <w:r>
        <w:rPr>
          <w:b/>
          <w:bCs/>
          <w:sz w:val="24"/>
          <w:szCs w:val="24"/>
        </w:rPr>
        <w:t xml:space="preserve">: </w:t>
      </w:r>
      <w:r w:rsidR="00C23228">
        <w:rPr>
          <w:b/>
          <w:bCs/>
          <w:sz w:val="24"/>
          <w:szCs w:val="24"/>
          <w:lang w:val="sr-Cyrl-RS"/>
        </w:rPr>
        <w:t>501.4-10/2026</w:t>
      </w:r>
    </w:p>
    <w:p w14:paraId="2695E10C" w14:textId="5EE762F9" w:rsidR="00C23228" w:rsidRDefault="00C23228">
      <w:pPr>
        <w:spacing w:after="0" w:line="240" w:lineRule="auto"/>
        <w:rPr>
          <w:sz w:val="24"/>
          <w:szCs w:val="24"/>
          <w:lang w:val="sr-Cyrl-RS"/>
        </w:rPr>
      </w:pPr>
    </w:p>
    <w:p w14:paraId="6DCCCD96" w14:textId="2F39AE4C" w:rsidR="00C23228" w:rsidRPr="00B877C0" w:rsidRDefault="00C23228">
      <w:pPr>
        <w:spacing w:after="0" w:line="240" w:lineRule="auto"/>
        <w:rPr>
          <w:b/>
          <w:sz w:val="24"/>
          <w:szCs w:val="24"/>
          <w:lang w:val="sr-Cyrl-RS"/>
        </w:rPr>
      </w:pPr>
      <w:commentRangeStart w:id="0"/>
      <w:r w:rsidRPr="00B877C0">
        <w:rPr>
          <w:b/>
          <w:sz w:val="24"/>
          <w:szCs w:val="24"/>
          <w:lang w:val="sr-Cyrl-RS"/>
        </w:rPr>
        <w:t>Подносилац жалбе:</w:t>
      </w:r>
      <w:commentRangeEnd w:id="0"/>
      <w:r>
        <w:rPr>
          <w:rStyle w:val="CommentReference"/>
        </w:rPr>
        <w:commentReference w:id="0"/>
      </w:r>
    </w:p>
    <w:p w14:paraId="13561324" w14:textId="77777777" w:rsidR="00C23228" w:rsidRPr="00B877C0" w:rsidRDefault="00C23228">
      <w:pPr>
        <w:spacing w:after="0" w:line="240" w:lineRule="auto"/>
        <w:rPr>
          <w:sz w:val="24"/>
          <w:szCs w:val="24"/>
          <w:lang w:val="sr-Cyrl-RS"/>
        </w:rPr>
      </w:pPr>
    </w:p>
    <w:p w14:paraId="00000008" w14:textId="77777777" w:rsidR="0043692D" w:rsidRDefault="006E4F8A">
      <w:pPr>
        <w:jc w:val="center"/>
        <w:rPr>
          <w:b/>
          <w:bCs/>
          <w:sz w:val="24"/>
          <w:szCs w:val="24"/>
        </w:rPr>
      </w:pPr>
      <w:r>
        <w:rPr>
          <w:b/>
          <w:bCs/>
          <w:sz w:val="24"/>
          <w:szCs w:val="24"/>
        </w:rPr>
        <w:t>ЖАЛБА</w:t>
      </w:r>
    </w:p>
    <w:p w14:paraId="00000009" w14:textId="1D5C4C2F" w:rsidR="0043692D" w:rsidRDefault="006E4F8A">
      <w:pPr>
        <w:jc w:val="both"/>
        <w:rPr>
          <w:sz w:val="24"/>
          <w:szCs w:val="24"/>
        </w:rPr>
      </w:pPr>
      <w:r>
        <w:rPr>
          <w:sz w:val="24"/>
          <w:szCs w:val="24"/>
        </w:rPr>
        <w:t xml:space="preserve">Против решења </w:t>
      </w:r>
      <w:bookmarkStart w:id="2" w:name="_Hlk234928768"/>
      <w:r>
        <w:rPr>
          <w:sz w:val="24"/>
          <w:szCs w:val="24"/>
        </w:rPr>
        <w:t>Секретаријата за заштиту животне средине Градске управе града Београда број: 501.4-10/2026 од 1. јула 2026. године којим је одлучено да за пројекат изградње Јавног акваријума у Булевару Николе Тесле није потребна студија о процени утицаја на животну средину.</w:t>
      </w:r>
    </w:p>
    <w:bookmarkEnd w:id="2"/>
    <w:p w14:paraId="78E36BC8" w14:textId="72DA1961" w:rsidR="00C23228" w:rsidRDefault="00C23228">
      <w:pPr>
        <w:jc w:val="both"/>
        <w:rPr>
          <w:sz w:val="24"/>
          <w:szCs w:val="24"/>
          <w:lang w:val="sr-Cyrl-RS"/>
        </w:rPr>
      </w:pPr>
      <w:r>
        <w:rPr>
          <w:sz w:val="24"/>
          <w:szCs w:val="24"/>
          <w:lang w:val="sr-Cyrl-RS"/>
        </w:rPr>
        <w:t xml:space="preserve">Решењем </w:t>
      </w:r>
      <w:bookmarkStart w:id="3" w:name="_Hlk234930398"/>
      <w:r w:rsidRPr="00C23228">
        <w:rPr>
          <w:sz w:val="24"/>
          <w:szCs w:val="24"/>
          <w:lang w:val="sr-Cyrl-RS"/>
        </w:rPr>
        <w:t>Секретаријата за заштиту животне средине Градске управе града Београда број: 501.4-10/2026 од 1. јула 2026. године је одлучено да за пројекат изградње Јавног акваријума у Булевару Николе Тесле није потребна студија о процени утицаја на животну средину</w:t>
      </w:r>
      <w:bookmarkEnd w:id="3"/>
      <w:r w:rsidRPr="00C23228">
        <w:rPr>
          <w:sz w:val="24"/>
          <w:szCs w:val="24"/>
          <w:lang w:val="sr-Cyrl-RS"/>
        </w:rPr>
        <w:t>.</w:t>
      </w:r>
    </w:p>
    <w:p w14:paraId="61B6F74A" w14:textId="751FA026" w:rsidR="00133A27" w:rsidRPr="00B877C0" w:rsidRDefault="00133A27">
      <w:pPr>
        <w:jc w:val="both"/>
        <w:rPr>
          <w:i/>
          <w:sz w:val="24"/>
          <w:szCs w:val="24"/>
          <w:lang w:val="sr-Cyrl-RS"/>
        </w:rPr>
      </w:pPr>
      <w:r w:rsidRPr="00B877C0">
        <w:rPr>
          <w:i/>
          <w:sz w:val="24"/>
          <w:szCs w:val="24"/>
          <w:lang w:val="sr-Cyrl-RS"/>
        </w:rPr>
        <w:t>Прилог:</w:t>
      </w:r>
    </w:p>
    <w:p w14:paraId="074A50EB" w14:textId="79B161B4" w:rsidR="00133A27" w:rsidRPr="00B877C0" w:rsidRDefault="00133A27" w:rsidP="00133A27">
      <w:pPr>
        <w:pStyle w:val="ListParagraph"/>
        <w:numPr>
          <w:ilvl w:val="0"/>
          <w:numId w:val="5"/>
        </w:numPr>
        <w:jc w:val="both"/>
        <w:rPr>
          <w:i/>
          <w:sz w:val="24"/>
          <w:szCs w:val="24"/>
          <w:lang w:val="sr-Cyrl-RS"/>
        </w:rPr>
      </w:pPr>
      <w:r w:rsidRPr="00B877C0">
        <w:rPr>
          <w:i/>
          <w:sz w:val="24"/>
          <w:szCs w:val="24"/>
          <w:lang w:val="sr-Cyrl-RS"/>
        </w:rPr>
        <w:t>Решење Секретаријата за заштиту животне средине Градске управе града Београда број: 501.4-10/2026 од 1. јула 2026. године</w:t>
      </w:r>
      <w:r w:rsidR="004E154D">
        <w:rPr>
          <w:i/>
          <w:sz w:val="24"/>
          <w:szCs w:val="24"/>
          <w:lang w:val="sr-Cyrl-RS"/>
        </w:rPr>
        <w:t>, у фотокопији</w:t>
      </w:r>
      <w:r w:rsidRPr="00B877C0">
        <w:rPr>
          <w:i/>
          <w:sz w:val="24"/>
          <w:szCs w:val="24"/>
          <w:lang w:val="sr-Cyrl-RS"/>
        </w:rPr>
        <w:t>;</w:t>
      </w:r>
    </w:p>
    <w:p w14:paraId="0A364E3A" w14:textId="1A353BF8" w:rsidR="00C23228" w:rsidRPr="00B877C0" w:rsidRDefault="00C23228" w:rsidP="00133A27">
      <w:pPr>
        <w:jc w:val="both"/>
        <w:rPr>
          <w:sz w:val="24"/>
          <w:szCs w:val="24"/>
          <w:lang w:val="sr-Cyrl-RS"/>
        </w:rPr>
      </w:pPr>
      <w:r w:rsidRPr="00B877C0">
        <w:rPr>
          <w:sz w:val="24"/>
          <w:szCs w:val="24"/>
          <w:lang w:val="sr-Cyrl-RS"/>
        </w:rPr>
        <w:t xml:space="preserve">Подносилац овим путем благовремено </w:t>
      </w:r>
      <w:r w:rsidRPr="00133A27">
        <w:rPr>
          <w:sz w:val="24"/>
          <w:szCs w:val="24"/>
          <w:lang w:val="sr-Cyrl-RS"/>
        </w:rPr>
        <w:t>подноси ову жалбу из свих законом прописаних разлога, а уз аргументацију наведену у наставку.</w:t>
      </w:r>
    </w:p>
    <w:p w14:paraId="0000000C" w14:textId="47A69536" w:rsidR="0043692D" w:rsidRDefault="00C23228" w:rsidP="00B877C0">
      <w:pPr>
        <w:pBdr>
          <w:top w:val="nil"/>
          <w:left w:val="nil"/>
          <w:bottom w:val="nil"/>
          <w:right w:val="nil"/>
          <w:between w:val="nil"/>
        </w:pBdr>
        <w:jc w:val="both"/>
        <w:rPr>
          <w:color w:val="000000"/>
          <w:sz w:val="24"/>
          <w:szCs w:val="24"/>
        </w:rPr>
      </w:pPr>
      <w:r>
        <w:rPr>
          <w:b/>
          <w:bCs/>
          <w:color w:val="000000"/>
          <w:sz w:val="24"/>
          <w:szCs w:val="24"/>
          <w:lang w:val="sr-Cyrl-RS"/>
        </w:rPr>
        <w:t>Подносилац наглашава да приликом доношења оспореног ре</w:t>
      </w:r>
      <w:r w:rsidR="004E154D">
        <w:rPr>
          <w:b/>
          <w:bCs/>
          <w:color w:val="000000"/>
          <w:sz w:val="24"/>
          <w:szCs w:val="24"/>
          <w:lang w:val="sr-Cyrl-RS"/>
        </w:rPr>
        <w:t>ш</w:t>
      </w:r>
      <w:r>
        <w:rPr>
          <w:b/>
          <w:bCs/>
          <w:color w:val="000000"/>
          <w:sz w:val="24"/>
          <w:szCs w:val="24"/>
          <w:lang w:val="sr-Cyrl-RS"/>
        </w:rPr>
        <w:t xml:space="preserve">ења, </w:t>
      </w:r>
      <w:r w:rsidR="006E4F8A">
        <w:rPr>
          <w:b/>
          <w:bCs/>
          <w:color w:val="000000"/>
          <w:sz w:val="24"/>
          <w:szCs w:val="24"/>
        </w:rPr>
        <w:t>Секретаријат за заштиту животне средине Града Београда</w:t>
      </w:r>
      <w:r w:rsidR="006E4F8A">
        <w:rPr>
          <w:color w:val="000000"/>
          <w:sz w:val="24"/>
          <w:szCs w:val="24"/>
        </w:rPr>
        <w:t xml:space="preserve"> </w:t>
      </w:r>
      <w:r w:rsidR="006E4F8A">
        <w:rPr>
          <w:b/>
          <w:bCs/>
          <w:color w:val="000000"/>
          <w:sz w:val="24"/>
          <w:szCs w:val="24"/>
        </w:rPr>
        <w:t>није применио Закон о процени утицаја на животну средину ("Сл. гласник РС", бр. 94/2024) и пратећи подзаконски акт, односно ПРАВИЛНИК о садржини захтева о потреби процене утицаја и садржини захтева за одређивање обима и садржаја студије о процени утицаја на животну средину ("Сл. гласник РС", бр. 69/2005)</w:t>
      </w:r>
      <w:r w:rsidR="006E4F8A">
        <w:rPr>
          <w:color w:val="000000"/>
          <w:sz w:val="24"/>
          <w:szCs w:val="24"/>
        </w:rPr>
        <w:t xml:space="preserve"> на предметни Захтев за одлучивање о потреби израде Студије о процени утицаја на животну средину пројекта изградње Јавног акваријума, поднетог од стране Министарства финансија</w:t>
      </w:r>
      <w:r w:rsidR="006E4F8A">
        <w:rPr>
          <w:b/>
          <w:bCs/>
          <w:color w:val="000000"/>
          <w:sz w:val="24"/>
          <w:szCs w:val="24"/>
        </w:rPr>
        <w:t xml:space="preserve">. </w:t>
      </w:r>
      <w:r w:rsidR="006E4F8A">
        <w:rPr>
          <w:color w:val="000000"/>
          <w:sz w:val="24"/>
          <w:szCs w:val="24"/>
        </w:rPr>
        <w:t xml:space="preserve">Правилник јасно наводи да захтев за одлучивање о потреби процене утицаја на животну средину, између осталог, </w:t>
      </w:r>
      <w:r w:rsidR="006E4F8A">
        <w:rPr>
          <w:b/>
          <w:bCs/>
          <w:color w:val="000000"/>
          <w:sz w:val="24"/>
          <w:szCs w:val="24"/>
        </w:rPr>
        <w:t>обавезно садржи и податке о могућем кумулирању са ефектима других пројеката</w:t>
      </w:r>
      <w:r w:rsidR="006E4F8A">
        <w:rPr>
          <w:color w:val="000000"/>
          <w:sz w:val="24"/>
          <w:szCs w:val="24"/>
        </w:rPr>
        <w:t xml:space="preserve">. </w:t>
      </w:r>
    </w:p>
    <w:p w14:paraId="0000000D" w14:textId="01DE2C9A" w:rsidR="0043692D" w:rsidRDefault="00516C5F">
      <w:pPr>
        <w:jc w:val="both"/>
        <w:rPr>
          <w:color w:val="000000"/>
          <w:sz w:val="24"/>
          <w:szCs w:val="24"/>
        </w:rPr>
      </w:pPr>
      <w:r>
        <w:rPr>
          <w:sz w:val="24"/>
          <w:szCs w:val="24"/>
          <w:lang w:val="sr-Cyrl-RS"/>
        </w:rPr>
        <w:lastRenderedPageBreak/>
        <w:t xml:space="preserve"> Подносилац наглашава да је </w:t>
      </w:r>
      <w:r w:rsidR="006E4F8A">
        <w:rPr>
          <w:sz w:val="24"/>
          <w:szCs w:val="24"/>
        </w:rPr>
        <w:t>авни акваријум  део Урбанистичког пројекта парк “Ушће” којим се недвосмислено планира изградња додатних објеката и садржаја (Музеја уметности 21. века, Природњачког музеја и пратеће инфраструктуре, паркинга, приступних саобраћајница), који ће свакако заједно имати кумулативан утицај на животну средину. План детаљне регулације мултифункционалног спортско-културног садржаја на подручју „Парка пријатељства” – Ушће, градске општине Нови Београд и Земун (</w:t>
      </w:r>
      <w:r w:rsidR="006E4F8A">
        <w:rPr>
          <w:color w:val="000000"/>
          <w:sz w:val="24"/>
          <w:szCs w:val="24"/>
        </w:rPr>
        <w:t xml:space="preserve">објављен у "Службеном листу града Београда", бр. 35/2019) предвиђа изградњу следећих садржаја: </w:t>
      </w:r>
      <w:r w:rsidR="006E4F8A">
        <w:rPr>
          <w:sz w:val="24"/>
          <w:szCs w:val="24"/>
        </w:rPr>
        <w:t>Музеја уметности 21. века, Природњачког музеја, акваријума, информационог пункта, панорамског точка и сличних објеката (ролеркостер, боб на шинама, итд) - што даје поуздану информацију да ће на подручју парка Ушће односно у непосредној околини катастарске парцеле 1138/14 К.О Земун бити изграђени други ообјекти. И у самом Захтеву за одлучивање о потреби процене утицаја, на страни</w:t>
      </w:r>
      <w:r w:rsidR="006E4F8A">
        <w:rPr>
          <w:color w:val="000000"/>
          <w:sz w:val="24"/>
          <w:szCs w:val="24"/>
        </w:rPr>
        <w:t xml:space="preserve"> 19, одељак 2.2.3. Паркирање пише: “</w:t>
      </w:r>
      <w:r w:rsidR="006E4F8A">
        <w:rPr>
          <w:i/>
          <w:iCs/>
          <w:color w:val="000000"/>
          <w:sz w:val="24"/>
          <w:szCs w:val="24"/>
        </w:rPr>
        <w:t>Пројектом није предвиђен паркинг на катастарској парцели 1138/14 К.О Земун. Паркирање је планирано у подземној гаражи Природњачког музеја</w:t>
      </w:r>
      <w:r w:rsidR="006E4F8A">
        <w:rPr>
          <w:color w:val="000000"/>
          <w:sz w:val="24"/>
          <w:szCs w:val="24"/>
        </w:rPr>
        <w:t xml:space="preserve">.” Овим је јасно наведено да је планирана изградња додатних објеката ван катастарске парцеле </w:t>
      </w:r>
      <w:r w:rsidR="006E4F8A">
        <w:rPr>
          <w:i/>
          <w:iCs/>
          <w:color w:val="000000"/>
          <w:sz w:val="24"/>
          <w:szCs w:val="24"/>
        </w:rPr>
        <w:t>1138/14 К.О Земун</w:t>
      </w:r>
      <w:r w:rsidR="006E4F8A">
        <w:rPr>
          <w:color w:val="000000"/>
          <w:sz w:val="24"/>
          <w:szCs w:val="24"/>
        </w:rPr>
        <w:t>, што је Секретаријат морао да узме у обзир, у складу са Правилником о садржини захтева о потреби процене утицаја и садржини захтева за одређивање обима и садржаја студије о процени утицаја на животну средину.</w:t>
      </w:r>
    </w:p>
    <w:p w14:paraId="0000000E" w14:textId="3D521177" w:rsidR="0043692D" w:rsidRDefault="006E4F8A">
      <w:pPr>
        <w:jc w:val="both"/>
        <w:rPr>
          <w:i/>
          <w:iCs/>
          <w:sz w:val="24"/>
          <w:szCs w:val="24"/>
        </w:rPr>
      </w:pPr>
      <w:r>
        <w:rPr>
          <w:sz w:val="24"/>
          <w:szCs w:val="24"/>
        </w:rPr>
        <w:t>Упркос томе, Секретаријат за заштиту животне средине на коментар</w:t>
      </w:r>
      <w:r w:rsidR="00516C5F">
        <w:rPr>
          <w:sz w:val="24"/>
          <w:szCs w:val="24"/>
          <w:lang w:val="sr-Cyrl-RS"/>
        </w:rPr>
        <w:t xml:space="preserve">, достављен од стране </w:t>
      </w:r>
      <w:r w:rsidR="00B877C0">
        <w:rPr>
          <w:sz w:val="24"/>
          <w:szCs w:val="24"/>
          <w:lang w:val="sr-Cyrl-RS"/>
        </w:rPr>
        <w:t xml:space="preserve">Београдске отворене школе </w:t>
      </w:r>
      <w:r w:rsidR="00516C5F">
        <w:rPr>
          <w:sz w:val="24"/>
          <w:szCs w:val="24"/>
          <w:lang w:val="sr-Cyrl-RS"/>
        </w:rPr>
        <w:t>на поднети Захтев</w:t>
      </w:r>
      <w:r>
        <w:rPr>
          <w:sz w:val="24"/>
          <w:szCs w:val="24"/>
        </w:rPr>
        <w:t xml:space="preserve"> да је неопходно размотрити кумулативни утицај акваријума заједно са осталим планираним пројектима</w:t>
      </w:r>
      <w:r w:rsidR="00516C5F">
        <w:rPr>
          <w:sz w:val="24"/>
          <w:szCs w:val="24"/>
          <w:lang w:val="sr-Cyrl-RS"/>
        </w:rPr>
        <w:t xml:space="preserve"> погрешно утврђује чињенично стање, и</w:t>
      </w:r>
      <w:r>
        <w:rPr>
          <w:sz w:val="24"/>
          <w:szCs w:val="24"/>
        </w:rPr>
        <w:t xml:space="preserve"> образлаже:</w:t>
      </w:r>
      <w:r>
        <w:rPr>
          <w:i/>
          <w:iCs/>
          <w:sz w:val="24"/>
          <w:szCs w:val="24"/>
        </w:rPr>
        <w:t xml:space="preserve"> </w:t>
      </w:r>
    </w:p>
    <w:p w14:paraId="0000000F" w14:textId="77777777" w:rsidR="0043692D" w:rsidRDefault="006E4F8A">
      <w:pPr>
        <w:jc w:val="both"/>
        <w:rPr>
          <w:sz w:val="24"/>
          <w:szCs w:val="24"/>
        </w:rPr>
      </w:pPr>
      <w:r>
        <w:rPr>
          <w:i/>
          <w:iCs/>
          <w:sz w:val="24"/>
          <w:szCs w:val="24"/>
        </w:rPr>
        <w:t>“Предмет овог поступка је конкретан пројекат - изградња објекта Јавног акваријума на катастарској парцели 1138/14 КО Земун, са јасно дефинисаном локацијом, наменом, капацитетом, техничким карактеристикама и мерама заштите животне средине. Урбанистички пројекат као урбанистичко-технички документ представља разраду планског решења и проверу урбанистичко-архитектонске усклађености, али сам по себи не представља обавезу истовремене реализације свих садржаја који се у њему могу приказати, нити замењује посебне поступке одобравања, техничке разраде и евентуалне процене утицаја за сваки појединачни пројекат. У складу са Законом и подзаконским актима који регулишу процену утицаја на животну средину, захтев јасно дефинише обухват пројекта и разрађује кумулативне утицаје, што свакако не значи да један захтев мора да обухвати све потенцијалне објекте из ширег урбанистичког концепта ако они нису део истог техничко-функционалног пројекта</w:t>
      </w:r>
      <w:r>
        <w:rPr>
          <w:sz w:val="24"/>
          <w:szCs w:val="24"/>
        </w:rPr>
        <w:t>.”</w:t>
      </w:r>
    </w:p>
    <w:p w14:paraId="00000010" w14:textId="119018B8" w:rsidR="0043692D" w:rsidRDefault="006E4F8A">
      <w:pPr>
        <w:jc w:val="both"/>
        <w:rPr>
          <w:sz w:val="24"/>
          <w:szCs w:val="24"/>
        </w:rPr>
      </w:pPr>
      <w:r>
        <w:rPr>
          <w:sz w:val="24"/>
          <w:szCs w:val="24"/>
        </w:rPr>
        <w:lastRenderedPageBreak/>
        <w:t xml:space="preserve">Најпре, Секретаријат </w:t>
      </w:r>
      <w:r w:rsidR="00516C5F">
        <w:rPr>
          <w:sz w:val="24"/>
          <w:szCs w:val="24"/>
          <w:lang w:val="sr-Cyrl-RS"/>
        </w:rPr>
        <w:t>неправилно</w:t>
      </w:r>
      <w:r w:rsidR="00516C5F">
        <w:rPr>
          <w:sz w:val="24"/>
          <w:szCs w:val="24"/>
        </w:rPr>
        <w:t xml:space="preserve"> </w:t>
      </w:r>
      <w:r>
        <w:rPr>
          <w:sz w:val="24"/>
          <w:szCs w:val="24"/>
        </w:rPr>
        <w:t>тумачи Закон о процени утицаја и његову сврху и</w:t>
      </w:r>
      <w:r w:rsidR="00516C5F">
        <w:rPr>
          <w:sz w:val="24"/>
          <w:szCs w:val="24"/>
          <w:lang w:val="sr-Cyrl-RS"/>
        </w:rPr>
        <w:t xml:space="preserve"> циљ самог прописа</w:t>
      </w:r>
      <w:r>
        <w:rPr>
          <w:sz w:val="24"/>
          <w:szCs w:val="24"/>
        </w:rPr>
        <w:t xml:space="preserve">. Закон о процени утицаја не </w:t>
      </w:r>
      <w:r w:rsidR="00516C5F">
        <w:rPr>
          <w:sz w:val="24"/>
          <w:szCs w:val="24"/>
          <w:lang w:val="sr-Cyrl-RS"/>
        </w:rPr>
        <w:t>примењује се само у случајевима</w:t>
      </w:r>
      <w:r>
        <w:rPr>
          <w:sz w:val="24"/>
          <w:szCs w:val="24"/>
        </w:rPr>
        <w:t xml:space="preserve">  процен</w:t>
      </w:r>
      <w:r w:rsidR="00516C5F">
        <w:rPr>
          <w:sz w:val="24"/>
          <w:szCs w:val="24"/>
          <w:lang w:val="sr-Cyrl-RS"/>
        </w:rPr>
        <w:t>е</w:t>
      </w:r>
      <w:r>
        <w:rPr>
          <w:sz w:val="24"/>
          <w:szCs w:val="24"/>
        </w:rPr>
        <w:t xml:space="preserve"> утицаја појединачних, конкретних пројеката на појединачним катастарским парцелама. Напротив, у члану 3. Закон о процени утицаја јасно дефинише да </w:t>
      </w:r>
      <w:r>
        <w:rPr>
          <w:b/>
          <w:bCs/>
          <w:sz w:val="24"/>
          <w:szCs w:val="24"/>
        </w:rPr>
        <w:t>процена утицаја пројекта на животну средину обухвата утврђивање, опис и процену непосредних и посредних, секундарних, кумулативних</w:t>
      </w:r>
      <w:r w:rsidR="00516C5F">
        <w:rPr>
          <w:b/>
          <w:bCs/>
          <w:sz w:val="24"/>
          <w:szCs w:val="24"/>
          <w:lang w:val="sr-Cyrl-RS"/>
        </w:rPr>
        <w:t>!</w:t>
      </w:r>
      <w:r>
        <w:rPr>
          <w:b/>
          <w:bCs/>
          <w:sz w:val="24"/>
          <w:szCs w:val="24"/>
        </w:rPr>
        <w:t>, прекограничних, краткорочних, средњорочних и дугорочних, трајних и привремених, позитивних и негативних, значајних утицаја</w:t>
      </w:r>
      <w:r>
        <w:rPr>
          <w:sz w:val="24"/>
          <w:szCs w:val="24"/>
        </w:rPr>
        <w:t xml:space="preserve"> (у даљем тексту: утицаји) одређеног пројекта на следеће чиниоце животне средине:</w:t>
      </w:r>
    </w:p>
    <w:p w14:paraId="00000011" w14:textId="77777777" w:rsidR="0043692D" w:rsidRDefault="006E4F8A">
      <w:pPr>
        <w:numPr>
          <w:ilvl w:val="0"/>
          <w:numId w:val="3"/>
        </w:numPr>
        <w:pBdr>
          <w:top w:val="nil"/>
          <w:left w:val="nil"/>
          <w:bottom w:val="nil"/>
          <w:right w:val="nil"/>
          <w:between w:val="nil"/>
        </w:pBdr>
        <w:spacing w:after="0"/>
        <w:jc w:val="both"/>
        <w:rPr>
          <w:color w:val="000000"/>
          <w:sz w:val="24"/>
          <w:szCs w:val="24"/>
        </w:rPr>
      </w:pPr>
      <w:r>
        <w:rPr>
          <w:color w:val="000000"/>
          <w:sz w:val="24"/>
          <w:szCs w:val="24"/>
        </w:rPr>
        <w:t>становништво и здравље људи;</w:t>
      </w:r>
    </w:p>
    <w:p w14:paraId="00000012" w14:textId="77777777" w:rsidR="0043692D" w:rsidRDefault="006E4F8A">
      <w:pPr>
        <w:numPr>
          <w:ilvl w:val="0"/>
          <w:numId w:val="3"/>
        </w:numPr>
        <w:pBdr>
          <w:top w:val="nil"/>
          <w:left w:val="nil"/>
          <w:bottom w:val="nil"/>
          <w:right w:val="nil"/>
          <w:between w:val="nil"/>
        </w:pBdr>
        <w:spacing w:after="0"/>
        <w:jc w:val="both"/>
        <w:rPr>
          <w:color w:val="000000"/>
          <w:sz w:val="24"/>
          <w:szCs w:val="24"/>
        </w:rPr>
      </w:pPr>
      <w:r>
        <w:rPr>
          <w:color w:val="000000"/>
          <w:sz w:val="24"/>
          <w:szCs w:val="24"/>
        </w:rPr>
        <w:t>биолошку разноврсност, посебно врсте станишта и њихову функционалну повезаност, подручја и друге природне вредности обухваћене прописима којима се уређује заштита природе;</w:t>
      </w:r>
    </w:p>
    <w:p w14:paraId="00000013" w14:textId="77777777" w:rsidR="0043692D" w:rsidRDefault="006E4F8A">
      <w:pPr>
        <w:numPr>
          <w:ilvl w:val="0"/>
          <w:numId w:val="3"/>
        </w:numPr>
        <w:pBdr>
          <w:top w:val="nil"/>
          <w:left w:val="nil"/>
          <w:bottom w:val="nil"/>
          <w:right w:val="nil"/>
          <w:between w:val="nil"/>
        </w:pBdr>
        <w:spacing w:after="0"/>
        <w:jc w:val="both"/>
        <w:rPr>
          <w:color w:val="000000"/>
          <w:sz w:val="24"/>
          <w:szCs w:val="24"/>
        </w:rPr>
      </w:pPr>
      <w:r>
        <w:rPr>
          <w:color w:val="000000"/>
          <w:sz w:val="24"/>
          <w:szCs w:val="24"/>
        </w:rPr>
        <w:t>еколошки значајна подручја, еколошке коридоре и еколошку мрежу;</w:t>
      </w:r>
    </w:p>
    <w:p w14:paraId="00000014" w14:textId="77777777" w:rsidR="0043692D" w:rsidRDefault="006E4F8A">
      <w:pPr>
        <w:numPr>
          <w:ilvl w:val="0"/>
          <w:numId w:val="3"/>
        </w:numPr>
        <w:pBdr>
          <w:top w:val="nil"/>
          <w:left w:val="nil"/>
          <w:bottom w:val="nil"/>
          <w:right w:val="nil"/>
          <w:between w:val="nil"/>
        </w:pBdr>
        <w:spacing w:after="0"/>
        <w:jc w:val="both"/>
        <w:rPr>
          <w:color w:val="000000"/>
          <w:sz w:val="24"/>
          <w:szCs w:val="24"/>
        </w:rPr>
      </w:pPr>
      <w:r>
        <w:rPr>
          <w:color w:val="000000"/>
          <w:sz w:val="24"/>
          <w:szCs w:val="24"/>
        </w:rPr>
        <w:t>екосистеме;</w:t>
      </w:r>
    </w:p>
    <w:p w14:paraId="00000015" w14:textId="77777777" w:rsidR="0043692D" w:rsidRDefault="006E4F8A">
      <w:pPr>
        <w:numPr>
          <w:ilvl w:val="0"/>
          <w:numId w:val="3"/>
        </w:numPr>
        <w:pBdr>
          <w:top w:val="nil"/>
          <w:left w:val="nil"/>
          <w:bottom w:val="nil"/>
          <w:right w:val="nil"/>
          <w:between w:val="nil"/>
        </w:pBdr>
        <w:spacing w:after="0"/>
        <w:jc w:val="both"/>
        <w:rPr>
          <w:color w:val="000000"/>
          <w:sz w:val="24"/>
          <w:szCs w:val="24"/>
        </w:rPr>
      </w:pPr>
      <w:r>
        <w:rPr>
          <w:color w:val="000000"/>
          <w:sz w:val="24"/>
          <w:szCs w:val="24"/>
        </w:rPr>
        <w:t>воду, ваздух и земљиште;</w:t>
      </w:r>
    </w:p>
    <w:p w14:paraId="00000016" w14:textId="77777777" w:rsidR="0043692D" w:rsidRDefault="006E4F8A">
      <w:pPr>
        <w:numPr>
          <w:ilvl w:val="0"/>
          <w:numId w:val="3"/>
        </w:numPr>
        <w:pBdr>
          <w:top w:val="nil"/>
          <w:left w:val="nil"/>
          <w:bottom w:val="nil"/>
          <w:right w:val="nil"/>
          <w:between w:val="nil"/>
        </w:pBdr>
        <w:spacing w:after="0"/>
        <w:jc w:val="both"/>
        <w:rPr>
          <w:color w:val="000000"/>
          <w:sz w:val="24"/>
          <w:szCs w:val="24"/>
        </w:rPr>
      </w:pPr>
      <w:r>
        <w:rPr>
          <w:color w:val="000000"/>
          <w:sz w:val="24"/>
          <w:szCs w:val="24"/>
        </w:rPr>
        <w:t>климу;</w:t>
      </w:r>
    </w:p>
    <w:p w14:paraId="00000017" w14:textId="77777777" w:rsidR="0043692D" w:rsidRDefault="006E4F8A">
      <w:pPr>
        <w:numPr>
          <w:ilvl w:val="0"/>
          <w:numId w:val="3"/>
        </w:numPr>
        <w:pBdr>
          <w:top w:val="nil"/>
          <w:left w:val="nil"/>
          <w:bottom w:val="nil"/>
          <w:right w:val="nil"/>
          <w:between w:val="nil"/>
        </w:pBdr>
        <w:spacing w:after="0"/>
        <w:jc w:val="both"/>
        <w:rPr>
          <w:color w:val="000000"/>
          <w:sz w:val="24"/>
          <w:szCs w:val="24"/>
        </w:rPr>
      </w:pPr>
      <w:r>
        <w:rPr>
          <w:color w:val="000000"/>
          <w:sz w:val="24"/>
          <w:szCs w:val="24"/>
        </w:rPr>
        <w:t>материјална добра, материјално културно наслеђе у складу са законом којим се уређује област заштите културног наслеђа и одлике предела;</w:t>
      </w:r>
    </w:p>
    <w:p w14:paraId="00000018" w14:textId="77777777" w:rsidR="0043692D" w:rsidRDefault="006E4F8A">
      <w:pPr>
        <w:numPr>
          <w:ilvl w:val="0"/>
          <w:numId w:val="3"/>
        </w:numPr>
        <w:pBdr>
          <w:top w:val="nil"/>
          <w:left w:val="nil"/>
          <w:bottom w:val="nil"/>
          <w:right w:val="nil"/>
          <w:between w:val="nil"/>
        </w:pBdr>
        <w:jc w:val="both"/>
        <w:rPr>
          <w:color w:val="000000"/>
          <w:sz w:val="24"/>
          <w:szCs w:val="24"/>
        </w:rPr>
      </w:pPr>
      <w:r>
        <w:rPr>
          <w:color w:val="000000"/>
          <w:sz w:val="24"/>
          <w:szCs w:val="24"/>
        </w:rPr>
        <w:t>интеракцију између чинилаца из тачака 1)–7).</w:t>
      </w:r>
    </w:p>
    <w:p w14:paraId="00000019" w14:textId="7729CA8E" w:rsidR="0043692D" w:rsidRDefault="006E4F8A">
      <w:pPr>
        <w:jc w:val="both"/>
        <w:rPr>
          <w:sz w:val="24"/>
          <w:szCs w:val="24"/>
        </w:rPr>
      </w:pPr>
      <w:r>
        <w:rPr>
          <w:sz w:val="24"/>
          <w:szCs w:val="24"/>
        </w:rPr>
        <w:t xml:space="preserve">Дакле, </w:t>
      </w:r>
      <w:r w:rsidR="00516C5F">
        <w:rPr>
          <w:sz w:val="24"/>
          <w:szCs w:val="24"/>
          <w:lang w:val="sr-Cyrl-RS"/>
        </w:rPr>
        <w:t xml:space="preserve">из наведене одредбе се јасно закључује да се </w:t>
      </w:r>
      <w:r>
        <w:rPr>
          <w:b/>
          <w:bCs/>
          <w:sz w:val="24"/>
          <w:szCs w:val="24"/>
        </w:rPr>
        <w:t xml:space="preserve">процена утицаја на животну средину не може  </w:t>
      </w:r>
      <w:r w:rsidR="00516C5F">
        <w:rPr>
          <w:b/>
          <w:bCs/>
          <w:sz w:val="24"/>
          <w:szCs w:val="24"/>
          <w:lang w:val="sr-Cyrl-RS"/>
        </w:rPr>
        <w:t xml:space="preserve">и не треба </w:t>
      </w:r>
      <w:r>
        <w:rPr>
          <w:b/>
          <w:bCs/>
          <w:sz w:val="24"/>
          <w:szCs w:val="24"/>
        </w:rPr>
        <w:t xml:space="preserve">сводити на једну конкретну катастарску парцелу </w:t>
      </w:r>
      <w:r w:rsidR="00516C5F">
        <w:rPr>
          <w:b/>
          <w:bCs/>
          <w:sz w:val="24"/>
          <w:szCs w:val="24"/>
          <w:lang w:val="sr-Cyrl-RS"/>
        </w:rPr>
        <w:t xml:space="preserve">је управо циљ поступка процене утицаја одређеног пројекта </w:t>
      </w:r>
      <w:r>
        <w:rPr>
          <w:b/>
          <w:bCs/>
          <w:sz w:val="24"/>
          <w:szCs w:val="24"/>
        </w:rPr>
        <w:t>сагледавање ширег</w:t>
      </w:r>
      <w:r w:rsidR="00516C5F">
        <w:rPr>
          <w:b/>
          <w:bCs/>
          <w:sz w:val="24"/>
          <w:szCs w:val="24"/>
          <w:lang w:val="sr-Cyrl-RS"/>
        </w:rPr>
        <w:t xml:space="preserve"> и целокупног</w:t>
      </w:r>
      <w:r>
        <w:rPr>
          <w:b/>
          <w:bCs/>
          <w:sz w:val="24"/>
          <w:szCs w:val="24"/>
        </w:rPr>
        <w:t xml:space="preserve"> утицаја планираног пројекта на </w:t>
      </w:r>
      <w:r w:rsidR="00516C5F">
        <w:rPr>
          <w:b/>
          <w:bCs/>
          <w:sz w:val="24"/>
          <w:szCs w:val="24"/>
          <w:lang w:val="sr-Cyrl-RS"/>
        </w:rPr>
        <w:t xml:space="preserve">све </w:t>
      </w:r>
      <w:r>
        <w:rPr>
          <w:b/>
          <w:bCs/>
          <w:sz w:val="24"/>
          <w:szCs w:val="24"/>
        </w:rPr>
        <w:t xml:space="preserve">чиниоце животне средине, </w:t>
      </w:r>
      <w:r w:rsidR="00516C5F">
        <w:rPr>
          <w:b/>
          <w:bCs/>
          <w:sz w:val="24"/>
          <w:szCs w:val="24"/>
          <w:lang w:val="sr-Cyrl-RS"/>
        </w:rPr>
        <w:t xml:space="preserve">како </w:t>
      </w:r>
      <w:r>
        <w:rPr>
          <w:b/>
          <w:bCs/>
          <w:sz w:val="24"/>
          <w:szCs w:val="24"/>
        </w:rPr>
        <w:t>на предметној парцели</w:t>
      </w:r>
      <w:r w:rsidR="00516C5F">
        <w:rPr>
          <w:b/>
          <w:bCs/>
          <w:sz w:val="24"/>
          <w:szCs w:val="24"/>
          <w:lang w:val="sr-Cyrl-RS"/>
        </w:rPr>
        <w:t>, тако</w:t>
      </w:r>
      <w:r>
        <w:rPr>
          <w:b/>
          <w:bCs/>
          <w:sz w:val="24"/>
          <w:szCs w:val="24"/>
        </w:rPr>
        <w:t xml:space="preserve"> и у њеној непосредној и посредној околини</w:t>
      </w:r>
      <w:r w:rsidR="00516C5F">
        <w:rPr>
          <w:b/>
          <w:bCs/>
          <w:sz w:val="24"/>
          <w:szCs w:val="24"/>
          <w:lang w:val="sr-Cyrl-RS"/>
        </w:rPr>
        <w:t>, као и у вези са другим планираним пројектима</w:t>
      </w:r>
      <w:r>
        <w:rPr>
          <w:sz w:val="24"/>
          <w:szCs w:val="24"/>
        </w:rPr>
        <w:t xml:space="preserve">. Зато </w:t>
      </w:r>
      <w:r>
        <w:rPr>
          <w:b/>
          <w:bCs/>
          <w:color w:val="000000"/>
          <w:sz w:val="24"/>
          <w:szCs w:val="24"/>
        </w:rPr>
        <w:t xml:space="preserve">није могуће сагледати укупан утицај изградње акваријума на животну средину, </w:t>
      </w:r>
      <w:r w:rsidR="00516C5F">
        <w:rPr>
          <w:b/>
          <w:bCs/>
          <w:color w:val="000000"/>
          <w:sz w:val="24"/>
          <w:szCs w:val="24"/>
          <w:lang w:val="sr-Cyrl-RS"/>
        </w:rPr>
        <w:t>уколико</w:t>
      </w:r>
      <w:r>
        <w:rPr>
          <w:b/>
          <w:bCs/>
          <w:color w:val="000000"/>
          <w:sz w:val="24"/>
          <w:szCs w:val="24"/>
        </w:rPr>
        <w:t xml:space="preserve"> се не сагледа кумулативни утицај и других планираних објеката у обухвату усвојеног Урбанистичког пројекта парка Ушће</w:t>
      </w:r>
      <w:r>
        <w:rPr>
          <w:color w:val="000000"/>
          <w:sz w:val="24"/>
          <w:szCs w:val="24"/>
        </w:rPr>
        <w:t>.</w:t>
      </w:r>
      <w:r>
        <w:rPr>
          <w:b/>
          <w:bCs/>
          <w:color w:val="000000"/>
          <w:sz w:val="24"/>
          <w:szCs w:val="24"/>
        </w:rPr>
        <w:t xml:space="preserve"> </w:t>
      </w:r>
      <w:r>
        <w:rPr>
          <w:sz w:val="24"/>
          <w:szCs w:val="24"/>
        </w:rPr>
        <w:t xml:space="preserve"> </w:t>
      </w:r>
    </w:p>
    <w:p w14:paraId="0000001A" w14:textId="77777777" w:rsidR="0043692D" w:rsidRDefault="006E4F8A">
      <w:pPr>
        <w:jc w:val="both"/>
        <w:rPr>
          <w:color w:val="000000"/>
          <w:sz w:val="24"/>
          <w:szCs w:val="24"/>
        </w:rPr>
      </w:pPr>
      <w:r>
        <w:rPr>
          <w:color w:val="000000"/>
          <w:sz w:val="24"/>
          <w:szCs w:val="24"/>
        </w:rPr>
        <w:t xml:space="preserve">То што је предмет одлучивања о потреби процене утицаја на животну средину један конкретан пројекат на конкретној катастарској парцели, не ослобађа надлежни орган обавезе да примењује принцип предострожности, сходно Закону о заштити животне средине ("Сл. гласник РС", бр. 135/2004, 36/2009, 36/2009 - др. закон, 72/2009 - др. закон, 43/2011 - одлука УС, 14/2016, 76/2018, 95/2018 - др. закон, 95/2018 - др. закон и 94/2024 - др. закон) који у члану 9, став 3. наводи начело превенције и предострожности као једно од основних начела заштите животне средине, које подразумева да свака активност мора бити планирана и </w:t>
      </w:r>
      <w:r>
        <w:rPr>
          <w:color w:val="000000"/>
          <w:sz w:val="24"/>
          <w:szCs w:val="24"/>
        </w:rPr>
        <w:lastRenderedPageBreak/>
        <w:t xml:space="preserve">спроведена на начин да: проузрокује најмању могућу промену у животној средини; представља најмањи ризик по животну средину и здравље људи; смањи оптерећење простора и потрошњу сировина и енергије у изградњи, производњи, дистрибуцији и употреби; укључи могућност рециклаже; спречи или ограничи утицај на животну средину на самом извору загађивања. Начело предострожности остварује се проценом утицаја на животну средину и коришћењем најбољих расположивих и доступних технологија, техника и опреме. </w:t>
      </w:r>
      <w:r>
        <w:rPr>
          <w:b/>
          <w:bCs/>
          <w:color w:val="000000"/>
          <w:sz w:val="24"/>
          <w:szCs w:val="24"/>
        </w:rPr>
        <w:t>Непостојање пуне научне поузданости не може бити разлог за непредузимање мера спречавања деградације животне средине у случају могућих или постојећих значајних утицаја на животну средину</w:t>
      </w:r>
      <w:r>
        <w:rPr>
          <w:color w:val="000000"/>
          <w:sz w:val="24"/>
          <w:szCs w:val="24"/>
        </w:rPr>
        <w:t xml:space="preserve">. </w:t>
      </w:r>
    </w:p>
    <w:p w14:paraId="0000001B" w14:textId="77777777" w:rsidR="0043692D" w:rsidRDefault="006E4F8A">
      <w:pPr>
        <w:jc w:val="both"/>
        <w:rPr>
          <w:color w:val="000000"/>
          <w:sz w:val="24"/>
          <w:szCs w:val="24"/>
        </w:rPr>
      </w:pPr>
      <w:r>
        <w:rPr>
          <w:color w:val="000000"/>
          <w:sz w:val="24"/>
          <w:szCs w:val="24"/>
        </w:rPr>
        <w:t>Управо је студија о процени утицаја на животну средину документ којим се анализира и оцењује квалитет чинилаца животне средине и њихова осетљивост на одређеном простору и међусобни утицаји постојећих и планираних активности, и процењују непосредни и посредни штетни утицаји пројекта на чиниоце животне средине, као и мере и услови за спречавање, смањење и отклањање штетних утицаја на животну средину и здравље људи. Решењем да студија о процени утицаја за изградњу Јавног акваријуме није потребна, Секретаријат за заштиту животне средине је занемарио и Закон о заштити животне средине и његова основна начела.</w:t>
      </w:r>
    </w:p>
    <w:p w14:paraId="0000001C" w14:textId="15D9686C" w:rsidR="0043692D" w:rsidRDefault="006E4F8A">
      <w:pPr>
        <w:jc w:val="both"/>
        <w:rPr>
          <w:sz w:val="24"/>
          <w:szCs w:val="24"/>
        </w:rPr>
      </w:pPr>
      <w:r>
        <w:rPr>
          <w:b/>
          <w:bCs/>
          <w:sz w:val="24"/>
          <w:szCs w:val="24"/>
        </w:rPr>
        <w:t xml:space="preserve">Секретаријат за заштиту животне средине у </w:t>
      </w:r>
      <w:r w:rsidR="00E63ED8">
        <w:rPr>
          <w:b/>
          <w:bCs/>
          <w:sz w:val="24"/>
          <w:szCs w:val="24"/>
          <w:lang w:val="sr-Cyrl-RS"/>
        </w:rPr>
        <w:t xml:space="preserve">оспореном решењу </w:t>
      </w:r>
      <w:r>
        <w:rPr>
          <w:sz w:val="24"/>
          <w:szCs w:val="24"/>
        </w:rPr>
        <w:t xml:space="preserve">наводи: </w:t>
      </w:r>
    </w:p>
    <w:p w14:paraId="0000001D" w14:textId="77777777" w:rsidR="0043692D" w:rsidRDefault="006E4F8A">
      <w:pPr>
        <w:jc w:val="both"/>
        <w:rPr>
          <w:sz w:val="24"/>
          <w:szCs w:val="24"/>
        </w:rPr>
      </w:pPr>
      <w:r>
        <w:rPr>
          <w:sz w:val="24"/>
          <w:szCs w:val="24"/>
        </w:rPr>
        <w:t>“</w:t>
      </w:r>
      <w:r>
        <w:rPr>
          <w:i/>
          <w:iCs/>
          <w:color w:val="000000"/>
          <w:sz w:val="24"/>
          <w:szCs w:val="24"/>
        </w:rPr>
        <w:t>Захтев је израђен за конкретан пројекат Јавног акваријума, који има јасно дефинисану локацију, намену, капацитет, техничко решење и мере заштите. Кумулативни утицаји су у Захтеву сагледани у односу на релевантне чиниоце животне средине и постојеће стање у ширем подручју, а не постоји обавеза да се у оквиру овог Захтева детаљно анализирају сви потенцијални садржаји који су плански или урбанистички могући, али нису предмет овог поступка, нису технички разрађени, нису одобрени и не представљају део исте техничко-функционалне целине са Акваријумом</w:t>
      </w:r>
      <w:r>
        <w:rPr>
          <w:color w:val="000000"/>
          <w:sz w:val="24"/>
          <w:szCs w:val="24"/>
        </w:rPr>
        <w:t>.”</w:t>
      </w:r>
    </w:p>
    <w:p w14:paraId="0000001E" w14:textId="5087C024" w:rsidR="0043692D" w:rsidRDefault="006E4F8A">
      <w:pPr>
        <w:jc w:val="both"/>
        <w:rPr>
          <w:sz w:val="24"/>
          <w:szCs w:val="24"/>
        </w:rPr>
      </w:pPr>
      <w:r>
        <w:rPr>
          <w:sz w:val="24"/>
          <w:szCs w:val="24"/>
        </w:rPr>
        <w:t xml:space="preserve">Секретаријат за заштиту животне средине </w:t>
      </w:r>
      <w:r w:rsidR="00E63ED8">
        <w:rPr>
          <w:sz w:val="24"/>
          <w:szCs w:val="24"/>
          <w:lang w:val="sr-Cyrl-RS"/>
        </w:rPr>
        <w:t xml:space="preserve">и у овом делу неправилно </w:t>
      </w:r>
      <w:r>
        <w:rPr>
          <w:sz w:val="24"/>
          <w:szCs w:val="24"/>
        </w:rPr>
        <w:t xml:space="preserve">тумачи Закон о процени утицаја на животну средину ("Сл. гласник РС", бр. 94/2024) и пратећи подзаконски акт, односно Правилник о садржини захтева о потреби процене утицаја и садржини захтева за одређивање обима и садржаја студије о процени утицаја на животну средину ("Сл. гласник РС", бр. 69/2005) који јасно наводи да захтев за одлучивање о потреби процене утицаја обавезно садржи и податке о могућем кумулирању са ефектима других пројеката.   Закон о процени утицаја на животну средину у члану 3. јасно наводи да процена утицаја пројекта на животну средину обухвата утврђивање, опис и процену </w:t>
      </w:r>
      <w:r>
        <w:rPr>
          <w:b/>
          <w:bCs/>
          <w:sz w:val="24"/>
          <w:szCs w:val="24"/>
        </w:rPr>
        <w:t xml:space="preserve">непосредних и </w:t>
      </w:r>
      <w:r>
        <w:rPr>
          <w:b/>
          <w:bCs/>
          <w:sz w:val="24"/>
          <w:szCs w:val="24"/>
        </w:rPr>
        <w:lastRenderedPageBreak/>
        <w:t>посредних, секундарних, кумулативних, прекограничних, краткорочних, средњорочних и дугорочних, трајних и привремених, позитивних и негативних, значајних утицаја</w:t>
      </w:r>
      <w:r>
        <w:rPr>
          <w:sz w:val="24"/>
          <w:szCs w:val="24"/>
        </w:rPr>
        <w:t xml:space="preserve">  одређеног пројекта на чиниоце животне средине. Закон процену утицаја у члану 10. прописује да се поступак процене утицаја састоји од следећих фаза:</w:t>
      </w:r>
    </w:p>
    <w:p w14:paraId="0000001F" w14:textId="77777777" w:rsidR="0043692D" w:rsidRDefault="006E4F8A">
      <w:pPr>
        <w:numPr>
          <w:ilvl w:val="0"/>
          <w:numId w:val="1"/>
        </w:numPr>
        <w:pBdr>
          <w:top w:val="nil"/>
          <w:left w:val="nil"/>
          <w:bottom w:val="nil"/>
          <w:right w:val="nil"/>
          <w:between w:val="nil"/>
        </w:pBdr>
        <w:spacing w:after="0"/>
        <w:jc w:val="both"/>
        <w:rPr>
          <w:color w:val="000000"/>
          <w:sz w:val="24"/>
          <w:szCs w:val="24"/>
        </w:rPr>
      </w:pPr>
      <w:r>
        <w:rPr>
          <w:color w:val="000000"/>
          <w:sz w:val="24"/>
          <w:szCs w:val="24"/>
        </w:rPr>
        <w:t>одлучивање о потреби процене утицаја за пројекте из члана 5. став 1. тачка 2) овог закона;</w:t>
      </w:r>
    </w:p>
    <w:p w14:paraId="00000020" w14:textId="77777777" w:rsidR="0043692D" w:rsidRDefault="006E4F8A">
      <w:pPr>
        <w:numPr>
          <w:ilvl w:val="0"/>
          <w:numId w:val="1"/>
        </w:numPr>
        <w:pBdr>
          <w:top w:val="nil"/>
          <w:left w:val="nil"/>
          <w:bottom w:val="nil"/>
          <w:right w:val="nil"/>
          <w:between w:val="nil"/>
        </w:pBdr>
        <w:spacing w:after="0"/>
        <w:jc w:val="both"/>
        <w:rPr>
          <w:color w:val="000000"/>
          <w:sz w:val="24"/>
          <w:szCs w:val="24"/>
        </w:rPr>
      </w:pPr>
      <w:r>
        <w:rPr>
          <w:color w:val="000000"/>
          <w:sz w:val="24"/>
          <w:szCs w:val="24"/>
        </w:rPr>
        <w:t>одређивање обима и садржаја студије о процени утицаја пројекта;</w:t>
      </w:r>
    </w:p>
    <w:p w14:paraId="00000021" w14:textId="77777777" w:rsidR="0043692D" w:rsidRDefault="006E4F8A">
      <w:pPr>
        <w:numPr>
          <w:ilvl w:val="0"/>
          <w:numId w:val="1"/>
        </w:numPr>
        <w:pBdr>
          <w:top w:val="nil"/>
          <w:left w:val="nil"/>
          <w:bottom w:val="nil"/>
          <w:right w:val="nil"/>
          <w:between w:val="nil"/>
        </w:pBdr>
        <w:jc w:val="both"/>
        <w:rPr>
          <w:color w:val="000000"/>
          <w:sz w:val="24"/>
          <w:szCs w:val="24"/>
        </w:rPr>
      </w:pPr>
      <w:r>
        <w:rPr>
          <w:color w:val="000000"/>
          <w:sz w:val="24"/>
          <w:szCs w:val="24"/>
        </w:rPr>
        <w:t>одлучивање о давању сагласности на студију о процени утицаја пројекта.</w:t>
      </w:r>
    </w:p>
    <w:p w14:paraId="00000022" w14:textId="07147549" w:rsidR="0043692D" w:rsidRDefault="006E4F8A">
      <w:pPr>
        <w:jc w:val="both"/>
        <w:rPr>
          <w:color w:val="000000"/>
          <w:sz w:val="24"/>
          <w:szCs w:val="24"/>
        </w:rPr>
      </w:pPr>
      <w:r>
        <w:rPr>
          <w:sz w:val="24"/>
          <w:szCs w:val="24"/>
        </w:rPr>
        <w:t>Предметни Захтев за одлучивање о потреби процене утицаја на животну средину је, дакле,  прва фаза поступка процене утицаја, а Закон јасно прописује обвезу да се у оквиру овог поступка (као и било ког другог поступка у току процене утицаја) утврде, опишу и процене непосредни и посредни, секундарни, кумулативни, прекогранични, краткорочни, средњорочни и дугорочни, трајни и привремени, позитивни и негативни, значајни утицаји  овог конкретног пројекта на чиниоце животне средине. Сходно томе “</w:t>
      </w:r>
      <w:r>
        <w:rPr>
          <w:i/>
          <w:iCs/>
          <w:sz w:val="24"/>
          <w:szCs w:val="24"/>
        </w:rPr>
        <w:t>с</w:t>
      </w:r>
      <w:r>
        <w:rPr>
          <w:i/>
          <w:iCs/>
          <w:color w:val="000000"/>
          <w:sz w:val="24"/>
          <w:szCs w:val="24"/>
        </w:rPr>
        <w:t xml:space="preserve">ви потенцијални садржаји који су плански или урбанистички могући, али нису предмет овог поступка, нису технички разрађени” </w:t>
      </w:r>
      <w:r>
        <w:rPr>
          <w:color w:val="000000"/>
          <w:sz w:val="24"/>
          <w:szCs w:val="24"/>
        </w:rPr>
        <w:t>треба итекако да буду предмет анализе овог поступка процене утицаја</w:t>
      </w:r>
      <w:r w:rsidR="00E63ED8">
        <w:rPr>
          <w:color w:val="000000"/>
          <w:sz w:val="24"/>
          <w:szCs w:val="24"/>
          <w:lang w:val="sr-Cyrl-RS"/>
        </w:rPr>
        <w:t>, и узети у обзир приликом доношења решења да ли је за конкретан пројекат потребно спровођење процене утицаја на животну средину</w:t>
      </w:r>
      <w:r>
        <w:rPr>
          <w:color w:val="000000"/>
          <w:sz w:val="24"/>
          <w:szCs w:val="24"/>
        </w:rPr>
        <w:t>. Ово је посебно важно јер није тачна тврдња да ти потенцијални садржаји “</w:t>
      </w:r>
      <w:r>
        <w:rPr>
          <w:i/>
          <w:iCs/>
          <w:color w:val="000000"/>
          <w:sz w:val="24"/>
          <w:szCs w:val="24"/>
        </w:rPr>
        <w:t xml:space="preserve">нису одобрени и не представљају део исте техничко-функционалне целине са Акваријумом”. </w:t>
      </w:r>
      <w:r>
        <w:rPr>
          <w:color w:val="000000"/>
          <w:sz w:val="24"/>
          <w:szCs w:val="24"/>
        </w:rPr>
        <w:t>Планирани садржаји јесу de factо одобрени и део су исте техничко-функционалне целине јер су сви део потврђеног Урбанистичког пројекта  парка “Ушће” и сви су планирани</w:t>
      </w:r>
      <w:r>
        <w:rPr>
          <w:sz w:val="24"/>
          <w:szCs w:val="24"/>
        </w:rPr>
        <w:t xml:space="preserve"> Планом детаљне регулације мултифункционалног спортско-културног садржаја на подручју „Парка пријатељства” – Ушће, градске општине Нови Београд и Земун (</w:t>
      </w:r>
      <w:r>
        <w:rPr>
          <w:color w:val="000000"/>
          <w:sz w:val="24"/>
          <w:szCs w:val="24"/>
        </w:rPr>
        <w:t>објављен у "Службеном листу града Београда", бр. 35/2019). Сама чињеница да је Јавни акваријум  део истог урбанистичког пројекта у оквиру кога су планирани Природњачки музеј, Музеј савремене уметности 21. века и други пратећи садржаји и инфраструктура говори о томе да су део исте техничко-функционалне целине. Чак и сам Захтев за одлучивање о потреби процене утицаја на страни 19 у опису решења за паркирање наводи: “</w:t>
      </w:r>
      <w:r>
        <w:rPr>
          <w:i/>
          <w:iCs/>
          <w:color w:val="000000"/>
          <w:sz w:val="24"/>
          <w:szCs w:val="24"/>
        </w:rPr>
        <w:t>Пројектом није предвиђен паркинг на катастарској парцели 1138/14 К.О Земун. Паркирање је планирано у подземној гаражи Природњачког музеја.</w:t>
      </w:r>
      <w:r>
        <w:rPr>
          <w:color w:val="000000"/>
          <w:sz w:val="24"/>
          <w:szCs w:val="24"/>
        </w:rPr>
        <w:t xml:space="preserve">” чиме се потврђује да су Јавни акваријум и Природњачки музеј део исте техничке-функционалне целине са заједничком пратећом инфраструктуром. </w:t>
      </w:r>
    </w:p>
    <w:p w14:paraId="00000023" w14:textId="77777777" w:rsidR="0043692D" w:rsidRDefault="006E4F8A">
      <w:pPr>
        <w:jc w:val="both"/>
        <w:rPr>
          <w:sz w:val="24"/>
          <w:szCs w:val="24"/>
        </w:rPr>
      </w:pPr>
      <w:r>
        <w:rPr>
          <w:sz w:val="24"/>
          <w:szCs w:val="24"/>
        </w:rPr>
        <w:t>Даље, Секретаријат у Решењу наводи:</w:t>
      </w:r>
    </w:p>
    <w:p w14:paraId="00000024" w14:textId="77777777" w:rsidR="0043692D" w:rsidRDefault="006E4F8A">
      <w:pPr>
        <w:jc w:val="both"/>
        <w:rPr>
          <w:b/>
          <w:bCs/>
          <w:sz w:val="24"/>
          <w:szCs w:val="24"/>
        </w:rPr>
      </w:pPr>
      <w:r>
        <w:rPr>
          <w:i/>
          <w:iCs/>
          <w:sz w:val="24"/>
          <w:szCs w:val="24"/>
        </w:rPr>
        <w:lastRenderedPageBreak/>
        <w:t>“Кумулативни утицај није занемарен, већ је анализиран кроз могуће заједничко дејство предметног пројекта са постојећим стањем животне средине, постојећим корисницима простора и урбаним карактером ширег подручја Ушћа. На основу извршене анализе, оцењено је да предметни пројекат, по свом обиму, карактеру, техничком решењу и предвиђеним мерама заштите, не производи значајан негативан кумулативни утицај на чиниоце животне средине. Сумирајући анализу појединачних чинилаца животне средине - ваздуха, вода, земљишта, буке, културних добара, природних добара и становништва - може се закључити да је кумулативни ефекат предметног пројекта сагледан за сваки од наведених чинилаца посебно. Утицаји који се могу јавити у фази изградње имају привремен, локализован и контролисан карактер, док се у фази експлоатације не очекују значајни негативни утицаји који би, самостално или у садејству са постојећим стањем у окружењу, довели до погоршања квалитета животне средине у ширем подручју Парка Ушће. Из тог разлога се оцењује да кумулативни утицај предметног пројекта није значајан, уз услов доследне примене предвиђених техничких, организационих и мера заштите животне средине.</w:t>
      </w:r>
      <w:r>
        <w:rPr>
          <w:b/>
          <w:bCs/>
          <w:sz w:val="24"/>
          <w:szCs w:val="24"/>
        </w:rPr>
        <w:t>”</w:t>
      </w:r>
    </w:p>
    <w:p w14:paraId="00000025" w14:textId="77777777" w:rsidR="0043692D" w:rsidRDefault="006E4F8A">
      <w:pPr>
        <w:jc w:val="both"/>
        <w:rPr>
          <w:sz w:val="24"/>
          <w:szCs w:val="24"/>
        </w:rPr>
      </w:pPr>
      <w:r>
        <w:rPr>
          <w:b/>
          <w:bCs/>
          <w:sz w:val="24"/>
          <w:szCs w:val="24"/>
        </w:rPr>
        <w:t>Међутим, ова тврдња није тачна јер Захтев који је Министарство финансија поднело не разрађује кумулативне ефекте на одговарајући начин. Кумулативни утицаји пројекта су у Захтеву само декларативно разматрани</w:t>
      </w:r>
      <w:r>
        <w:rPr>
          <w:sz w:val="24"/>
          <w:szCs w:val="24"/>
        </w:rPr>
        <w:t>, без конкретних података којима би се доказало да ће кумулативни утицај бити мали и без икаквог разматрања ширег просторног контекста ван граница катастарске парцеле 1138/14 КО Земун. То се може утврдити на основу следећих примера:</w:t>
      </w:r>
    </w:p>
    <w:p w14:paraId="00000026" w14:textId="77777777" w:rsidR="0043692D" w:rsidRDefault="006E4F8A">
      <w:pPr>
        <w:spacing w:before="240" w:after="240"/>
        <w:jc w:val="both"/>
        <w:rPr>
          <w:sz w:val="24"/>
          <w:szCs w:val="24"/>
        </w:rPr>
      </w:pPr>
      <w:r>
        <w:rPr>
          <w:b/>
          <w:bCs/>
          <w:sz w:val="24"/>
          <w:szCs w:val="24"/>
        </w:rPr>
        <w:t xml:space="preserve">Пример 1: </w:t>
      </w:r>
      <w:r>
        <w:rPr>
          <w:sz w:val="24"/>
          <w:szCs w:val="24"/>
        </w:rPr>
        <w:t>На експлицитно питање на страни 10 Захтева “</w:t>
      </w:r>
      <w:r>
        <w:rPr>
          <w:i/>
          <w:iCs/>
          <w:sz w:val="24"/>
          <w:szCs w:val="24"/>
        </w:rPr>
        <w:t>Да ли постоје било који други фактори које треба анализирати, као што је развој који ће уследити, који би могли довести до последица по животну средину или до кумулативних утицаја са другим, постојећим или планираним активностима на локацији?</w:t>
      </w:r>
      <w:r>
        <w:rPr>
          <w:sz w:val="24"/>
          <w:szCs w:val="24"/>
        </w:rPr>
        <w:t>” Министарство финансија као носилац пројекта одговорило је “</w:t>
      </w:r>
      <w:r>
        <w:rPr>
          <w:b/>
          <w:bCs/>
          <w:i/>
          <w:iCs/>
          <w:sz w:val="24"/>
          <w:szCs w:val="24"/>
        </w:rPr>
        <w:t>НЕ - Не постоје активности које би узроковале значајне кумулативне утицаје са пројектом. Плански и просторни контекст је у складу са развојем зонирања</w:t>
      </w:r>
      <w:r>
        <w:rPr>
          <w:b/>
          <w:bCs/>
          <w:sz w:val="24"/>
          <w:szCs w:val="24"/>
        </w:rPr>
        <w:t>.</w:t>
      </w:r>
      <w:r>
        <w:rPr>
          <w:sz w:val="24"/>
          <w:szCs w:val="24"/>
        </w:rPr>
        <w:t>” Иако је на основу Плана детаљне регулације мултифункционалног спортско-културног садржаја на подручју „Парка пријатељства” – Ушће, градске општине Нови Београд и Земун, и на основу Урбанистичког пројекта парк “Ушће” већ познато да ће у непосредној близини планираног акваријума бити изграђени додатни садржаји, који су дефинитивно планирани као развој који ће уследити, Министарство у Захтеву даје одговор да не постоје активности које би узроковале значајне кумулативне утицаје са пројектом. Примера ради, Урбанистички пројекат предвиђа да Музеј савремене уметности 21. века заузме површину од 9375m</w:t>
      </w:r>
      <w:r>
        <w:rPr>
          <w:sz w:val="24"/>
          <w:szCs w:val="24"/>
          <w:vertAlign w:val="superscript"/>
        </w:rPr>
        <w:t>2</w:t>
      </w:r>
      <w:r>
        <w:rPr>
          <w:sz w:val="24"/>
          <w:szCs w:val="24"/>
        </w:rPr>
        <w:t xml:space="preserve"> надземне зоне </w:t>
      </w:r>
      <w:r>
        <w:rPr>
          <w:sz w:val="24"/>
          <w:szCs w:val="24"/>
        </w:rPr>
        <w:lastRenderedPageBreak/>
        <w:t>грађења, док је подземном зоном грађења остварена могућност функционалног повезивања са објектом Музеја савремене уметности и њена површина износи додатних 4.968 m2. Максимална бруто развијена грађевинска површина објекта износи 25.000 m</w:t>
      </w:r>
      <w:r>
        <w:rPr>
          <w:sz w:val="24"/>
          <w:szCs w:val="24"/>
          <w:vertAlign w:val="superscript"/>
        </w:rPr>
        <w:t>2</w:t>
      </w:r>
      <w:r>
        <w:rPr>
          <w:sz w:val="24"/>
          <w:szCs w:val="24"/>
        </w:rPr>
        <w:t>, док максимална висина објекта износи 20 m. Планирани објекат Природњачког музеја са подземном гаражом на грађевинској парцели ЈС-3 у нивоу партера заузеће 6.708 m</w:t>
      </w:r>
      <w:r>
        <w:rPr>
          <w:sz w:val="24"/>
          <w:szCs w:val="24"/>
          <w:vertAlign w:val="superscript"/>
        </w:rPr>
        <w:t>2</w:t>
      </w:r>
      <w:r>
        <w:rPr>
          <w:sz w:val="24"/>
          <w:szCs w:val="24"/>
        </w:rPr>
        <w:t>, док ће површина подземне етаже износити 15.941 m</w:t>
      </w:r>
      <w:r>
        <w:rPr>
          <w:sz w:val="24"/>
          <w:szCs w:val="24"/>
          <w:vertAlign w:val="superscript"/>
        </w:rPr>
        <w:t>2</w:t>
      </w:r>
      <w:r>
        <w:rPr>
          <w:sz w:val="24"/>
          <w:szCs w:val="24"/>
        </w:rPr>
        <w:t>. Након изградње, Природњачки музеј заузеће 25% грађевинске парцеле ЈС-3 чија је површина 25.832 m</w:t>
      </w:r>
      <w:r>
        <w:rPr>
          <w:sz w:val="24"/>
          <w:szCs w:val="24"/>
          <w:vertAlign w:val="superscript"/>
        </w:rPr>
        <w:t>2</w:t>
      </w:r>
      <w:r>
        <w:rPr>
          <w:sz w:val="24"/>
          <w:szCs w:val="24"/>
        </w:rPr>
        <w:t>, док ће Музеј савремене уметности 21. века заузети чак 55% грађевинске парцеле ЈС-2 која је укупне површине 16.762 m</w:t>
      </w:r>
      <w:r>
        <w:rPr>
          <w:sz w:val="24"/>
          <w:szCs w:val="24"/>
          <w:vertAlign w:val="superscript"/>
        </w:rPr>
        <w:t>2</w:t>
      </w:r>
      <w:r>
        <w:rPr>
          <w:sz w:val="24"/>
          <w:szCs w:val="24"/>
        </w:rPr>
        <w:t xml:space="preserve">. Дакле, ово нису мали објекти без значајног утицаја на околину, већ напротив заузимају значајну површину и у надземној и подземној етажи. Истовремено, сви објекти се планирају у већ постојећем градско парку, на самој обали реке Дунав који је део еколошке мреже и еколошки коридор од међународног значаја. Захтев за одлучивање о потреби процене утицаја уопште не разматра кумулативне утицаје пројекта акваријума са другим, већ планираним садржајима у парку. На овај начин Министарство финансија дало је нетачне информације о потенцијалним кумулативним утицајима пројекта на животну средину. </w:t>
      </w:r>
    </w:p>
    <w:p w14:paraId="00000027" w14:textId="77777777" w:rsidR="0043692D" w:rsidRDefault="006E4F8A">
      <w:pPr>
        <w:jc w:val="both"/>
        <w:rPr>
          <w:sz w:val="24"/>
          <w:szCs w:val="24"/>
        </w:rPr>
      </w:pPr>
      <w:r>
        <w:rPr>
          <w:b/>
          <w:bCs/>
          <w:sz w:val="24"/>
          <w:szCs w:val="24"/>
        </w:rPr>
        <w:t>Пример 2:</w:t>
      </w:r>
      <w:r>
        <w:rPr>
          <w:sz w:val="24"/>
          <w:szCs w:val="24"/>
        </w:rPr>
        <w:t xml:space="preserve"> Одељак </w:t>
      </w:r>
      <w:r>
        <w:rPr>
          <w:color w:val="000000"/>
          <w:sz w:val="24"/>
          <w:szCs w:val="24"/>
        </w:rPr>
        <w:t>5.6. Природна добра</w:t>
      </w:r>
      <w:r>
        <w:rPr>
          <w:sz w:val="24"/>
          <w:szCs w:val="24"/>
        </w:rPr>
        <w:t xml:space="preserve"> (страна 50 Захтева) наводи се:</w:t>
      </w:r>
    </w:p>
    <w:p w14:paraId="00000028" w14:textId="77777777" w:rsidR="0043692D" w:rsidRDefault="006E4F8A">
      <w:pPr>
        <w:jc w:val="both"/>
        <w:rPr>
          <w:sz w:val="24"/>
          <w:szCs w:val="24"/>
        </w:rPr>
      </w:pPr>
      <w:r>
        <w:rPr>
          <w:sz w:val="24"/>
          <w:szCs w:val="24"/>
        </w:rPr>
        <w:t>“</w:t>
      </w:r>
      <w:r>
        <w:rPr>
          <w:i/>
          <w:iCs/>
          <w:sz w:val="24"/>
          <w:szCs w:val="24"/>
        </w:rPr>
        <w:t>Иако локација није формално заштићено природно добро, она представља део ширег система зелене инфраструктуре града Београда. Биолошки елементи простора одликују се умереним степеном разноврсности, типичним за урбане парковске површине.</w:t>
      </w:r>
      <w:r>
        <w:rPr>
          <w:sz w:val="24"/>
          <w:szCs w:val="24"/>
        </w:rPr>
        <w:t>”</w:t>
      </w:r>
    </w:p>
    <w:p w14:paraId="00000029" w14:textId="77777777" w:rsidR="0043692D" w:rsidRDefault="006E4F8A">
      <w:pPr>
        <w:jc w:val="both"/>
        <w:rPr>
          <w:sz w:val="24"/>
          <w:szCs w:val="24"/>
        </w:rPr>
      </w:pPr>
      <w:r>
        <w:rPr>
          <w:b/>
          <w:bCs/>
          <w:sz w:val="24"/>
          <w:szCs w:val="24"/>
        </w:rPr>
        <w:t>Најпре, ова тврдња је фактички нетачна.</w:t>
      </w:r>
      <w:r>
        <w:rPr>
          <w:sz w:val="24"/>
          <w:szCs w:val="24"/>
        </w:rPr>
        <w:t xml:space="preserve"> Локација не представља  “део ширег система зелене инфраструктуре града Београда”, већ је према Плану генералне регулације система зелених површина („Сл. Лист града Београда” бр. 110/2019) ова зона део </w:t>
      </w:r>
      <w:r>
        <w:rPr>
          <w:b/>
          <w:bCs/>
          <w:sz w:val="24"/>
          <w:szCs w:val="24"/>
        </w:rPr>
        <w:t>језгра система зелених површина Београда</w:t>
      </w:r>
      <w:r>
        <w:rPr>
          <w:sz w:val="24"/>
          <w:szCs w:val="24"/>
        </w:rPr>
        <w:t xml:space="preserve"> (које обухвата Парк пријатељства, парк Палате „Србија”, зелене површине у приобаљу десне обале Дунава и леве и десне обале Саве, Велико и Мало ратно острво, као и део шуме у форланду леве обале Дунава, парк Калемегдан). Према ПГР система зелених површина, „језгро” система зелених површина је очувано и планирано као простор вишеструког значаја, како за град, тако и за Републику Србију. Дакле, ова локација није никакав периферни део ширег система зелене инфраструктуре Београда, већ њен централни део, који је од кључног значаја за успостављање зелене инфраструктуре Града која је предуслов за адаптацију града на климатске промене.  </w:t>
      </w:r>
    </w:p>
    <w:p w14:paraId="0000002A" w14:textId="77777777" w:rsidR="0043692D" w:rsidRDefault="006E4F8A">
      <w:pPr>
        <w:jc w:val="both"/>
        <w:rPr>
          <w:sz w:val="24"/>
          <w:szCs w:val="24"/>
        </w:rPr>
      </w:pPr>
      <w:r>
        <w:rPr>
          <w:sz w:val="24"/>
          <w:szCs w:val="24"/>
        </w:rPr>
        <w:t xml:space="preserve">Затим, није јасно на шта се тачно мисли под “умереним степеном разноврсности” биолошких елемената простора, нити таква категорија постоји у прописима који </w:t>
      </w:r>
      <w:r>
        <w:rPr>
          <w:sz w:val="24"/>
          <w:szCs w:val="24"/>
        </w:rPr>
        <w:lastRenderedPageBreak/>
        <w:t xml:space="preserve">регулишу заштиту природе и животне средине у Републици Србији. Који су то тачно биолошки елементи који су разматрани и шта их тачно сврстава у “умерени степен разноврсности”? Без јасних информација и података - ово је паушална оцена која није прихватљива за простор велике еколошке осетљивости, какав је читав простор приобалног појаса Дунава (који је уједно и део еколошке мреже РС). </w:t>
      </w:r>
    </w:p>
    <w:p w14:paraId="0000002B" w14:textId="77777777" w:rsidR="0043692D" w:rsidRDefault="006E4F8A">
      <w:pPr>
        <w:jc w:val="both"/>
        <w:rPr>
          <w:sz w:val="24"/>
          <w:szCs w:val="24"/>
        </w:rPr>
      </w:pPr>
      <w:r>
        <w:rPr>
          <w:sz w:val="24"/>
          <w:szCs w:val="24"/>
        </w:rPr>
        <w:t>На крају одељка се закључује:</w:t>
      </w:r>
    </w:p>
    <w:p w14:paraId="0000002C" w14:textId="77777777" w:rsidR="0043692D" w:rsidRDefault="006E4F8A">
      <w:pPr>
        <w:jc w:val="both"/>
        <w:rPr>
          <w:sz w:val="24"/>
          <w:szCs w:val="24"/>
        </w:rPr>
      </w:pPr>
      <w:r>
        <w:rPr>
          <w:sz w:val="24"/>
          <w:szCs w:val="24"/>
        </w:rPr>
        <w:t>“</w:t>
      </w:r>
      <w:r>
        <w:rPr>
          <w:i/>
          <w:iCs/>
          <w:sz w:val="24"/>
          <w:szCs w:val="24"/>
        </w:rPr>
        <w:t>Пројекат је усклађен са принципима заштите природе, јер предвиђа очување постојећег зеленила и унапређење зелених површина. Кумулативно посматрано, пројекат неће довести до смањења биолошке разноврсности у ширем подручју</w:t>
      </w:r>
      <w:r>
        <w:rPr>
          <w:sz w:val="24"/>
          <w:szCs w:val="24"/>
        </w:rPr>
        <w:t>.” Овакав закључак је донет, а да није дат попис врста флоре и фауне присутне на парцели (биоеколошка основа није била јавно доступна током јавног увида у Захтев), није објашњено шта подразумева “умерени степен разноврсности” нити како се до такве оцене дошло, нити је на било који начин адресирана непосредна близина Дунава, као еколошког коридора од међународног значаја који је део еколошке мреже Републике Србије (и од парцеле 1138/14 КО Земун удаљен мање од 50м), нити близина Великог ратног острва, предела изузетних одлика и заштићеног подручја треће категорије. Утицај на заштиту природе и природна добра је описан врло паушално, без података и зато се не може сматрати да је кумулативни утицај пројекта изградње акваријума анализиран у овом случају.</w:t>
      </w:r>
    </w:p>
    <w:p w14:paraId="0000002D" w14:textId="77777777" w:rsidR="0043692D" w:rsidRDefault="006E4F8A">
      <w:pPr>
        <w:spacing w:before="240" w:after="240"/>
        <w:jc w:val="both"/>
        <w:rPr>
          <w:sz w:val="24"/>
          <w:szCs w:val="24"/>
        </w:rPr>
      </w:pPr>
      <w:r>
        <w:rPr>
          <w:b/>
          <w:bCs/>
          <w:sz w:val="24"/>
          <w:szCs w:val="24"/>
        </w:rPr>
        <w:t>Пример 3:</w:t>
      </w:r>
      <w:r>
        <w:rPr>
          <w:sz w:val="24"/>
          <w:szCs w:val="24"/>
        </w:rPr>
        <w:t xml:space="preserve"> Одељак 5.5. </w:t>
      </w:r>
      <w:r>
        <w:rPr>
          <w:b/>
          <w:bCs/>
          <w:sz w:val="24"/>
          <w:szCs w:val="24"/>
        </w:rPr>
        <w:t>разматра утицаје на непокретна културна добра кроз само три реченице</w:t>
      </w:r>
      <w:r>
        <w:rPr>
          <w:sz w:val="24"/>
          <w:szCs w:val="24"/>
        </w:rPr>
        <w:t>: “И</w:t>
      </w:r>
      <w:r>
        <w:rPr>
          <w:i/>
          <w:iCs/>
          <w:sz w:val="24"/>
          <w:szCs w:val="24"/>
        </w:rPr>
        <w:t>ако се локација не налази у зони формалне заштите културних добара, простор Ушћа има изражену културно-урбанистичку вредност. Планирани објекат својом позицијом и архитектонским решењем не нарушава постојеће просторне и визуелне односе. У складу са законом, уколико би током извођења радова дошло до открића археолошких остатака, биће примењене све прописане мере заштите и обавештавања надлежних институција.</w:t>
      </w:r>
      <w:r>
        <w:rPr>
          <w:sz w:val="24"/>
          <w:szCs w:val="24"/>
        </w:rPr>
        <w:t>”</w:t>
      </w:r>
    </w:p>
    <w:p w14:paraId="0000002E" w14:textId="77777777" w:rsidR="0043692D" w:rsidRDefault="006E4F8A">
      <w:pPr>
        <w:spacing w:before="240" w:after="240"/>
        <w:jc w:val="both"/>
        <w:rPr>
          <w:sz w:val="24"/>
          <w:szCs w:val="24"/>
        </w:rPr>
      </w:pPr>
      <w:r>
        <w:rPr>
          <w:color w:val="000000"/>
          <w:sz w:val="24"/>
          <w:szCs w:val="24"/>
        </w:rPr>
        <w:t xml:space="preserve">Иако се локација планираног акваријума не налази у зони формалне заштите, налази се у непосредној близини и граничи се са неколико веома важних непокретних културних добара. Најпре, сам Парк пријатељства је непокретно културно добро, проглашено Одлуком о утврђивању Парка пријатељства у Новом Београду за знаменито место („Сл. Гласник РС” 8/2014-15). Према члану 22. Закона о културним добрима, знаменито место је простор везан за догађај од посебног значаја за историју, подручје с израженим елементима природних и радом створених вредности као јединствене целине, од посебног културног и историјског значаја. Затим, Музеј савремене уметности и Палата Савезног извршног већа (СИВ / данас Палата Србије) су споменици културе.  </w:t>
      </w:r>
      <w:r>
        <w:rPr>
          <w:b/>
          <w:bCs/>
          <w:color w:val="000000"/>
          <w:sz w:val="24"/>
          <w:szCs w:val="24"/>
        </w:rPr>
        <w:t xml:space="preserve">У захтеву се  близина ових културних добара уопште не помиње и не разматра, већ се на </w:t>
      </w:r>
      <w:r>
        <w:rPr>
          <w:b/>
          <w:bCs/>
          <w:color w:val="000000"/>
          <w:sz w:val="24"/>
          <w:szCs w:val="24"/>
        </w:rPr>
        <w:lastRenderedPageBreak/>
        <w:t>основу непознатих критеријума закључује да пројекат неће имати утицаја на њих</w:t>
      </w:r>
      <w:r>
        <w:rPr>
          <w:color w:val="000000"/>
          <w:sz w:val="24"/>
          <w:szCs w:val="24"/>
        </w:rPr>
        <w:t>. З</w:t>
      </w:r>
      <w:r>
        <w:rPr>
          <w:sz w:val="24"/>
          <w:szCs w:val="24"/>
        </w:rPr>
        <w:t>ато се не може сматрати да је кумулативни утицај пројекта изградње акваријума на непокретна културна добра анализиран у овом случају.</w:t>
      </w:r>
    </w:p>
    <w:p w14:paraId="0000002F" w14:textId="77777777" w:rsidR="0043692D" w:rsidRDefault="006E4F8A">
      <w:pPr>
        <w:jc w:val="both"/>
        <w:rPr>
          <w:color w:val="000000"/>
          <w:sz w:val="24"/>
          <w:szCs w:val="24"/>
        </w:rPr>
      </w:pPr>
      <w:r>
        <w:rPr>
          <w:b/>
          <w:bCs/>
          <w:sz w:val="24"/>
          <w:szCs w:val="24"/>
        </w:rPr>
        <w:t xml:space="preserve">Пример 4: </w:t>
      </w:r>
      <w:r>
        <w:rPr>
          <w:sz w:val="24"/>
          <w:szCs w:val="24"/>
        </w:rPr>
        <w:t xml:space="preserve">У одељку </w:t>
      </w:r>
      <w:r>
        <w:rPr>
          <w:color w:val="000000"/>
          <w:sz w:val="24"/>
          <w:szCs w:val="24"/>
        </w:rPr>
        <w:t>5.1. Ваздух, на страни 48 Захтева наводи се:</w:t>
      </w:r>
    </w:p>
    <w:p w14:paraId="00000030" w14:textId="77777777" w:rsidR="0043692D" w:rsidRDefault="006E4F8A">
      <w:pPr>
        <w:jc w:val="both"/>
        <w:rPr>
          <w:color w:val="000000"/>
          <w:sz w:val="24"/>
          <w:szCs w:val="24"/>
        </w:rPr>
      </w:pPr>
      <w:r>
        <w:rPr>
          <w:i/>
          <w:iCs/>
          <w:color w:val="000000"/>
          <w:sz w:val="24"/>
          <w:szCs w:val="24"/>
        </w:rPr>
        <w:t>“Постојеће стање квалитета ваздуха у ширем подручју карактеришу повремена прекорачења граничних вредности суспендованих честица и азот-диоксида, нарочито у условима повећаног саобраћајног оптерећења и неповољних метеоролошких услова. У том контексту, ваздух представља осетљив чинилац животне средине, али са значајним капацитетом самопречишћавања услед отворености простора</w:t>
      </w:r>
      <w:r>
        <w:rPr>
          <w:color w:val="000000"/>
          <w:sz w:val="24"/>
          <w:szCs w:val="24"/>
        </w:rPr>
        <w:t>. “</w:t>
      </w:r>
    </w:p>
    <w:p w14:paraId="00000031" w14:textId="77777777" w:rsidR="0043692D" w:rsidRDefault="006E4F8A">
      <w:pPr>
        <w:jc w:val="both"/>
        <w:rPr>
          <w:color w:val="000000"/>
          <w:sz w:val="24"/>
          <w:szCs w:val="24"/>
        </w:rPr>
      </w:pPr>
      <w:r>
        <w:rPr>
          <w:color w:val="000000"/>
          <w:sz w:val="24"/>
          <w:szCs w:val="24"/>
        </w:rPr>
        <w:t>И овде се даје се паушална оцена квалитета ваздуха без конкретних података, приказа временских серија мониторинга, и закључује се да се у кумулативном смислу, допринос пројекта укупном оптерећењу ваздуха оцењује као занемарљив.</w:t>
      </w:r>
    </w:p>
    <w:p w14:paraId="00000032" w14:textId="77777777" w:rsidR="0043692D" w:rsidRDefault="006E4F8A">
      <w:pPr>
        <w:jc w:val="both"/>
        <w:rPr>
          <w:color w:val="000000"/>
          <w:sz w:val="24"/>
          <w:szCs w:val="24"/>
        </w:rPr>
      </w:pPr>
      <w:r>
        <w:rPr>
          <w:b/>
          <w:bCs/>
          <w:color w:val="000000"/>
          <w:sz w:val="24"/>
          <w:szCs w:val="24"/>
        </w:rPr>
        <w:t>Ове тврдње фактички нису тачне.</w:t>
      </w:r>
      <w:r>
        <w:rPr>
          <w:color w:val="000000"/>
          <w:sz w:val="24"/>
          <w:szCs w:val="24"/>
        </w:rPr>
        <w:t xml:space="preserve"> Прекорачење концентрација загађујућих материја није повремено, већ се бележи на свим мерним местима у непосредној или посредној близини зоне планираног пројекта, и то у току целе године. </w:t>
      </w:r>
    </w:p>
    <w:p w14:paraId="00000033" w14:textId="77777777" w:rsidR="0043692D" w:rsidRDefault="006E4F8A">
      <w:pPr>
        <w:jc w:val="both"/>
        <w:rPr>
          <w:color w:val="000000"/>
          <w:sz w:val="24"/>
          <w:szCs w:val="24"/>
        </w:rPr>
      </w:pPr>
      <w:r>
        <w:rPr>
          <w:color w:val="000000"/>
          <w:sz w:val="24"/>
          <w:szCs w:val="24"/>
        </w:rPr>
        <w:t xml:space="preserve">Последњи доступан извештај о квалитету ваздуха у Србији, који садржи и податке о квалитету ваздуха забележеном на мерним местима у Београду, покрива 2024. годину. У наставку су забележени дани са прекомерним загађењем суспендованим ПМ10 честицама, на изабраним мерним местима у непосредној и посредној близини планираног пројекта. На свим мерним местима забележено је преко 35 дана прекомерног загађења (што је законски дозвољен број дана за прекорачење граничне концентрације ПМ10  честица). </w:t>
      </w:r>
    </w:p>
    <w:p w14:paraId="00000034" w14:textId="77777777" w:rsidR="0043692D" w:rsidRDefault="006E4F8A">
      <w:pPr>
        <w:jc w:val="both"/>
        <w:rPr>
          <w:color w:val="000000"/>
          <w:sz w:val="24"/>
          <w:szCs w:val="24"/>
        </w:rPr>
      </w:pPr>
      <w:r>
        <w:rPr>
          <w:color w:val="000000"/>
          <w:sz w:val="24"/>
          <w:szCs w:val="24"/>
        </w:rPr>
        <w:t>ПМ10 - прекорачења днвене граничне вредности од 50</w:t>
      </w:r>
      <w:r>
        <w:rPr>
          <w:sz w:val="24"/>
          <w:szCs w:val="24"/>
        </w:rPr>
        <w:t xml:space="preserve"> μg/m³:</w:t>
      </w:r>
    </w:p>
    <w:p w14:paraId="00000035" w14:textId="77777777" w:rsidR="0043692D" w:rsidRDefault="006E4F8A">
      <w:pPr>
        <w:numPr>
          <w:ilvl w:val="0"/>
          <w:numId w:val="2"/>
        </w:numPr>
        <w:pBdr>
          <w:top w:val="nil"/>
          <w:left w:val="nil"/>
          <w:bottom w:val="nil"/>
          <w:right w:val="nil"/>
          <w:between w:val="nil"/>
        </w:pBdr>
        <w:spacing w:after="0"/>
        <w:jc w:val="both"/>
        <w:rPr>
          <w:color w:val="000000"/>
          <w:sz w:val="24"/>
          <w:szCs w:val="24"/>
        </w:rPr>
      </w:pPr>
      <w:r>
        <w:rPr>
          <w:color w:val="000000"/>
          <w:sz w:val="24"/>
          <w:szCs w:val="24"/>
        </w:rPr>
        <w:t xml:space="preserve">Београд Стари град - 58 дана са прекорачењем дневне граничне вредности ПМ10 честица </w:t>
      </w:r>
    </w:p>
    <w:p w14:paraId="00000036" w14:textId="77777777" w:rsidR="0043692D" w:rsidRDefault="006E4F8A">
      <w:pPr>
        <w:numPr>
          <w:ilvl w:val="0"/>
          <w:numId w:val="2"/>
        </w:numPr>
        <w:pBdr>
          <w:top w:val="nil"/>
          <w:left w:val="nil"/>
          <w:bottom w:val="nil"/>
          <w:right w:val="nil"/>
          <w:between w:val="nil"/>
        </w:pBdr>
        <w:spacing w:after="0"/>
        <w:jc w:val="both"/>
        <w:rPr>
          <w:color w:val="000000"/>
          <w:sz w:val="24"/>
          <w:szCs w:val="24"/>
        </w:rPr>
      </w:pPr>
      <w:r>
        <w:rPr>
          <w:color w:val="000000"/>
          <w:sz w:val="24"/>
          <w:szCs w:val="24"/>
        </w:rPr>
        <w:t xml:space="preserve">Београд на води - 49 дана са прекорачењем дневне граничне вредности ПМ10 честица </w:t>
      </w:r>
    </w:p>
    <w:p w14:paraId="00000037" w14:textId="77777777" w:rsidR="0043692D" w:rsidRDefault="006E4F8A">
      <w:pPr>
        <w:numPr>
          <w:ilvl w:val="0"/>
          <w:numId w:val="2"/>
        </w:numPr>
        <w:pBdr>
          <w:top w:val="nil"/>
          <w:left w:val="nil"/>
          <w:bottom w:val="nil"/>
          <w:right w:val="nil"/>
          <w:between w:val="nil"/>
        </w:pBdr>
        <w:spacing w:after="0"/>
        <w:jc w:val="both"/>
        <w:rPr>
          <w:color w:val="000000"/>
          <w:sz w:val="24"/>
          <w:szCs w:val="24"/>
        </w:rPr>
      </w:pPr>
      <w:r>
        <w:rPr>
          <w:color w:val="000000"/>
          <w:sz w:val="24"/>
          <w:szCs w:val="24"/>
        </w:rPr>
        <w:t xml:space="preserve">Београд Нови Београд - 53 дана са прекорачењем дневне граничне вредности ПМ10 честица </w:t>
      </w:r>
    </w:p>
    <w:p w14:paraId="00000038" w14:textId="77777777" w:rsidR="0043692D" w:rsidRDefault="006E4F8A">
      <w:pPr>
        <w:numPr>
          <w:ilvl w:val="0"/>
          <w:numId w:val="2"/>
        </w:numPr>
        <w:pBdr>
          <w:top w:val="nil"/>
          <w:left w:val="nil"/>
          <w:bottom w:val="nil"/>
          <w:right w:val="nil"/>
          <w:between w:val="nil"/>
        </w:pBdr>
        <w:jc w:val="both"/>
        <w:rPr>
          <w:color w:val="000000"/>
          <w:sz w:val="24"/>
          <w:szCs w:val="24"/>
        </w:rPr>
      </w:pPr>
      <w:r>
        <w:rPr>
          <w:color w:val="000000"/>
          <w:sz w:val="24"/>
          <w:szCs w:val="24"/>
        </w:rPr>
        <w:t xml:space="preserve">Београд Мостар - прекорачење годишње граничне вредности просечне концентрације азот-диоксида (43 микрограма по метру кубном) и 68 дана са прекомерном концентрацијом ПМ10 честица. </w:t>
      </w:r>
    </w:p>
    <w:p w14:paraId="00000039" w14:textId="77777777" w:rsidR="0043692D" w:rsidRDefault="006E4F8A">
      <w:pPr>
        <w:jc w:val="both"/>
        <w:rPr>
          <w:color w:val="000000"/>
          <w:sz w:val="24"/>
          <w:szCs w:val="24"/>
        </w:rPr>
      </w:pPr>
      <w:r>
        <w:rPr>
          <w:color w:val="000000"/>
          <w:sz w:val="24"/>
          <w:szCs w:val="24"/>
        </w:rPr>
        <w:lastRenderedPageBreak/>
        <w:t xml:space="preserve">Законом дозвољени број дана са прекомерном концентрацијом ПМ10 честица је 35, и он је прекорачен на свим мерним местима у непосредној и посредној околини Парка пријатељства. </w:t>
      </w:r>
    </w:p>
    <w:p w14:paraId="0000003A" w14:textId="77777777" w:rsidR="0043692D" w:rsidRDefault="006E4F8A">
      <w:pPr>
        <w:jc w:val="both"/>
        <w:rPr>
          <w:sz w:val="24"/>
          <w:szCs w:val="24"/>
        </w:rPr>
      </w:pPr>
      <w:r>
        <w:rPr>
          <w:color w:val="000000"/>
          <w:sz w:val="24"/>
          <w:szCs w:val="24"/>
        </w:rPr>
        <w:t xml:space="preserve">Из приложеног се може видети да се загађење ваздуха у зони планираног пројекта свакако не може окарактерисати као стање са повременим прекорачењима граничних вредности, као ни да загађење ваздуха долази доминантно из саобраћаја. Напротив, </w:t>
      </w:r>
      <w:r>
        <w:rPr>
          <w:b/>
          <w:bCs/>
          <w:color w:val="000000"/>
          <w:sz w:val="24"/>
          <w:szCs w:val="24"/>
        </w:rPr>
        <w:t>у посматраном подручју (као и на територији читавог Београда) загађење ваздуха је према званичним мерењима редовна и хронична појава</w:t>
      </w:r>
      <w:r>
        <w:rPr>
          <w:color w:val="000000"/>
          <w:sz w:val="24"/>
          <w:szCs w:val="24"/>
        </w:rPr>
        <w:t xml:space="preserve">. Тиме што у разматрању утицаја на животну средину није у обзир узео шири просторни контекст планираног пројекта већ само и искључиво посматрану катастарску парцелу </w:t>
      </w:r>
      <w:r>
        <w:rPr>
          <w:sz w:val="24"/>
          <w:szCs w:val="24"/>
        </w:rPr>
        <w:t>1138/14 КО Земун Секретаријат је пропустио да сагледа кумулативне утицаје пројекта на животну средину, и тиме је прекршио Закон о процени утицаја на животну средину.</w:t>
      </w:r>
    </w:p>
    <w:p w14:paraId="0000003B" w14:textId="77777777" w:rsidR="0043692D" w:rsidRDefault="006E4F8A">
      <w:pPr>
        <w:jc w:val="both"/>
        <w:rPr>
          <w:color w:val="000000"/>
          <w:sz w:val="24"/>
          <w:szCs w:val="24"/>
        </w:rPr>
      </w:pPr>
      <w:r>
        <w:rPr>
          <w:color w:val="000000"/>
          <w:sz w:val="24"/>
          <w:szCs w:val="24"/>
        </w:rPr>
        <w:t xml:space="preserve">На крају, није јасно којом методологијом су процењени капацитети простора за самопречишћавање, нити представљени подаци на основу којих је извршена ова анализа. Такође, појам капацитета ваздуха за самопречишћавање је непознат у законодавству Републике Србије. </w:t>
      </w:r>
      <w:r>
        <w:rPr>
          <w:sz w:val="24"/>
          <w:szCs w:val="24"/>
        </w:rPr>
        <w:t>Ј</w:t>
      </w:r>
      <w:r>
        <w:rPr>
          <w:color w:val="000000"/>
          <w:sz w:val="24"/>
          <w:szCs w:val="24"/>
        </w:rPr>
        <w:t xml:space="preserve">асно је да је опис квалитета ваздуха, као једног од чинилаца животне средине на посматраној локацији, непотпун, нетачан и неадекватан, а да кумулативни утицај није размотрен нити приказан на адекватан начин. </w:t>
      </w:r>
    </w:p>
    <w:p w14:paraId="5856D646" w14:textId="77777777" w:rsidR="00133A27" w:rsidRPr="00133A27" w:rsidRDefault="00133A27" w:rsidP="00133A27">
      <w:pPr>
        <w:jc w:val="both"/>
        <w:rPr>
          <w:sz w:val="24"/>
          <w:szCs w:val="24"/>
        </w:rPr>
      </w:pPr>
    </w:p>
    <w:p w14:paraId="16670F34" w14:textId="062E2C86" w:rsidR="00133A27" w:rsidRPr="00133A27" w:rsidRDefault="00133A27" w:rsidP="00B877C0">
      <w:pPr>
        <w:jc w:val="center"/>
        <w:rPr>
          <w:sz w:val="24"/>
          <w:szCs w:val="24"/>
        </w:rPr>
      </w:pPr>
      <w:r>
        <w:rPr>
          <w:sz w:val="24"/>
          <w:szCs w:val="24"/>
          <w:lang w:val="sr-Cyrl-RS"/>
        </w:rPr>
        <w:t>*</w:t>
      </w:r>
      <w:r w:rsidRPr="00133A27">
        <w:rPr>
          <w:sz w:val="24"/>
          <w:szCs w:val="24"/>
        </w:rPr>
        <w:t>**</w:t>
      </w:r>
    </w:p>
    <w:p w14:paraId="0000003C" w14:textId="51755B26" w:rsidR="0043692D" w:rsidRDefault="00133A27" w:rsidP="00133A27">
      <w:pPr>
        <w:jc w:val="both"/>
        <w:rPr>
          <w:color w:val="000000"/>
          <w:sz w:val="24"/>
          <w:szCs w:val="24"/>
        </w:rPr>
      </w:pPr>
      <w:r w:rsidRPr="00133A27">
        <w:rPr>
          <w:sz w:val="24"/>
          <w:szCs w:val="24"/>
        </w:rPr>
        <w:t>Имајући у виду наведено, Подносилац овим путем предлаже да другостепени орган, у складу са чланом 171. став 1 Закона о општем управном поступку, доносе Решење којим ће да усвоји жа</w:t>
      </w:r>
      <w:r>
        <w:rPr>
          <w:sz w:val="24"/>
          <w:szCs w:val="24"/>
          <w:lang w:val="sr-Cyrl-RS"/>
        </w:rPr>
        <w:t>л</w:t>
      </w:r>
      <w:r w:rsidRPr="00133A27">
        <w:rPr>
          <w:sz w:val="24"/>
          <w:szCs w:val="24"/>
        </w:rPr>
        <w:t xml:space="preserve">бу Подносиоца, и да поништи побијано Решење Секретаријата за заштиту животне средине Градске управе града Београда број: 501.4-10/2026 од 1. јула 2026. </w:t>
      </w:r>
      <w:r w:rsidR="004E154D">
        <w:rPr>
          <w:sz w:val="24"/>
          <w:szCs w:val="24"/>
          <w:lang w:val="sr-Cyrl-RS"/>
        </w:rPr>
        <w:t>г</w:t>
      </w:r>
      <w:r w:rsidRPr="00133A27">
        <w:rPr>
          <w:sz w:val="24"/>
          <w:szCs w:val="24"/>
        </w:rPr>
        <w:t>одине</w:t>
      </w:r>
      <w:r>
        <w:rPr>
          <w:sz w:val="24"/>
          <w:szCs w:val="24"/>
          <w:lang w:val="sr-Cyrl-RS"/>
        </w:rPr>
        <w:t xml:space="preserve">, те </w:t>
      </w:r>
      <w:r w:rsidRPr="00133A27">
        <w:rPr>
          <w:sz w:val="24"/>
          <w:szCs w:val="24"/>
        </w:rPr>
        <w:t xml:space="preserve">да предмет врати првостепеном органу на поновни поступак. </w:t>
      </w:r>
    </w:p>
    <w:p w14:paraId="00000041" w14:textId="792D2D50" w:rsidR="0043692D" w:rsidRDefault="0043692D">
      <w:pPr>
        <w:jc w:val="both"/>
        <w:rPr>
          <w:sz w:val="24"/>
          <w:szCs w:val="24"/>
        </w:rPr>
      </w:pPr>
    </w:p>
    <w:p w14:paraId="00000042" w14:textId="77777777" w:rsidR="0043692D" w:rsidRDefault="006E4F8A">
      <w:pPr>
        <w:jc w:val="both"/>
        <w:rPr>
          <w:sz w:val="24"/>
          <w:szCs w:val="24"/>
        </w:rPr>
      </w:pPr>
      <w:r>
        <w:br/>
      </w:r>
      <w:r>
        <w:rPr>
          <w:sz w:val="24"/>
          <w:szCs w:val="24"/>
        </w:rPr>
        <w:t>Mesto: __________________</w:t>
      </w:r>
    </w:p>
    <w:p w14:paraId="00000043" w14:textId="77777777" w:rsidR="0043692D" w:rsidRDefault="006E4F8A">
      <w:pPr>
        <w:jc w:val="both"/>
        <w:rPr>
          <w:sz w:val="24"/>
          <w:szCs w:val="24"/>
        </w:rPr>
      </w:pPr>
      <w:r>
        <w:rPr>
          <w:sz w:val="24"/>
          <w:szCs w:val="24"/>
        </w:rPr>
        <w:t>Datum: __________________</w:t>
      </w:r>
    </w:p>
    <w:p w14:paraId="00000044" w14:textId="77777777" w:rsidR="0043692D" w:rsidRDefault="006E4F8A">
      <w:pPr>
        <w:jc w:val="both"/>
        <w:rPr>
          <w:sz w:val="24"/>
          <w:szCs w:val="24"/>
        </w:rPr>
      </w:pPr>
      <w:r>
        <w:br/>
      </w:r>
      <w:r>
        <w:rPr>
          <w:sz w:val="24"/>
          <w:szCs w:val="24"/>
        </w:rPr>
        <w:t>Potpis: __________________</w:t>
      </w:r>
    </w:p>
    <w:p w14:paraId="00000045" w14:textId="77777777" w:rsidR="0043692D" w:rsidRDefault="0043692D">
      <w:pPr>
        <w:jc w:val="both"/>
        <w:rPr>
          <w:sz w:val="24"/>
          <w:szCs w:val="24"/>
        </w:rPr>
      </w:pPr>
    </w:p>
    <w:sectPr w:rsidR="0043692D">
      <w:pgSz w:w="12240" w:h="15840"/>
      <w:pgMar w:top="1440" w:right="1530" w:bottom="1440" w:left="1800" w:header="72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Vukčević Legal" w:date="2026-07-14T13:35:00Z" w:initials="LjV">
    <w:p w14:paraId="0E79C2B1" w14:textId="77777777" w:rsidR="004E154D" w:rsidRDefault="00C23228">
      <w:pPr>
        <w:pStyle w:val="CommentText"/>
        <w:rPr>
          <w:lang w:val="sr-Cyrl-RS"/>
        </w:rPr>
      </w:pPr>
      <w:bookmarkStart w:id="1" w:name="_GoBack"/>
      <w:bookmarkEnd w:id="1"/>
      <w:r>
        <w:rPr>
          <w:rStyle w:val="CommentReference"/>
        </w:rPr>
        <w:annotationRef/>
      </w:r>
      <w:r>
        <w:rPr>
          <w:lang w:val="sr-Cyrl-RS"/>
        </w:rPr>
        <w:t xml:space="preserve">Унети податке о подносиоцу: </w:t>
      </w:r>
    </w:p>
    <w:p w14:paraId="0B5FCA39" w14:textId="77777777" w:rsidR="004E154D" w:rsidRDefault="00C23228" w:rsidP="004E154D">
      <w:pPr>
        <w:pStyle w:val="CommentText"/>
        <w:numPr>
          <w:ilvl w:val="0"/>
          <w:numId w:val="6"/>
        </w:numPr>
        <w:rPr>
          <w:lang w:val="sr-Cyrl-RS"/>
        </w:rPr>
      </w:pPr>
      <w:r>
        <w:rPr>
          <w:lang w:val="sr-Cyrl-RS"/>
        </w:rPr>
        <w:t>име и презиме, ЈМБГ, адресу пребивалишта</w:t>
      </w:r>
      <w:r w:rsidR="004E154D">
        <w:rPr>
          <w:lang w:val="sr-Cyrl-RS"/>
        </w:rPr>
        <w:t xml:space="preserve"> за физичко лице;</w:t>
      </w:r>
    </w:p>
    <w:p w14:paraId="079FF59E" w14:textId="77F4BE9C" w:rsidR="00C23228" w:rsidRPr="00C23228" w:rsidRDefault="004E154D" w:rsidP="004E154D">
      <w:pPr>
        <w:pStyle w:val="CommentText"/>
        <w:numPr>
          <w:ilvl w:val="0"/>
          <w:numId w:val="6"/>
        </w:numPr>
        <w:rPr>
          <w:lang w:val="sr-Cyrl-RS"/>
        </w:rPr>
      </w:pPr>
      <w:r>
        <w:rPr>
          <w:lang w:val="sr-Cyrl-RS"/>
        </w:rPr>
        <w:t>пословно име, матични број, адресу, законског заступника за правно лице</w:t>
      </w:r>
      <w:r w:rsidR="00C23228">
        <w:rPr>
          <w:lang w:val="sr-Cyrl-RS"/>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9FF5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9FF59E" w16cid:durableId="2E00B9A6"/>
  <w16cid:commentId w16cid:paraId="130C41BD" w16cid:durableId="2E00BB95"/>
  <w16cid:commentId w16cid:paraId="3D659635" w16cid:durableId="2E00C08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embedRegular r:id="rId1" w:fontKey="{217DC78D-3B24-45BE-B28D-5C7330D62DED}"/>
    <w:embedBold r:id="rId2" w:fontKey="{DF429569-7E1C-4EE4-B316-539333620B99}"/>
    <w:embedItalic r:id="rId3" w:fontKey="{1BC7F7C4-BF9E-440D-AA78-61F0F87C11E5}"/>
    <w:embedBoldItalic r:id="rId4" w:fontKey="{5B40C7CE-AD47-4D44-A397-02A7B60CDB49}"/>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5" w:fontKey="{2F6D6A31-F71E-4646-9CCA-3E2E571622DF}"/>
  </w:font>
  <w:font w:name="Calibri">
    <w:panose1 w:val="020F0502020204030204"/>
    <w:charset w:val="EE"/>
    <w:family w:val="swiss"/>
    <w:pitch w:val="variable"/>
    <w:sig w:usb0="E4002EFF" w:usb1="C000247B" w:usb2="00000009" w:usb3="00000000" w:csb0="000001FF" w:csb1="00000000"/>
    <w:embedRegular r:id="rId6" w:fontKey="{4AC845DB-D329-4E9F-AB2E-26A729CACF5F}"/>
    <w:embedBold r:id="rId7" w:fontKey="{DF93532F-E7D3-464B-BCA1-D85DDFA1C19C}"/>
    <w:embedItalic r:id="rId8" w:fontKey="{60788CE8-23E6-4642-BE69-3956B68249F5}"/>
    <w:embedBoldItalic r:id="rId9" w:fontKey="{98647EE2-28D5-413A-8013-211C82B67F87}"/>
  </w:font>
  <w:font w:name="Segoe UI">
    <w:panose1 w:val="020B0502040204020203"/>
    <w:charset w:val="EE"/>
    <w:family w:val="swiss"/>
    <w:pitch w:val="variable"/>
    <w:sig w:usb0="E4002EFF" w:usb1="C000E47F" w:usb2="00000009" w:usb3="00000000" w:csb0="000001FF" w:csb1="00000000"/>
    <w:embedRegular r:id="rId10" w:fontKey="{3C41BA2B-5785-4365-A0A3-E281D2897FD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028E6"/>
    <w:multiLevelType w:val="multilevel"/>
    <w:tmpl w:val="53B0E1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A81C6E"/>
    <w:multiLevelType w:val="hybridMultilevel"/>
    <w:tmpl w:val="5C64BD7C"/>
    <w:lvl w:ilvl="0" w:tplc="280825C4">
      <w:start w:val="1"/>
      <w:numFmt w:val="bullet"/>
      <w:lvlText w:val="-"/>
      <w:lvlJc w:val="left"/>
      <w:pPr>
        <w:ind w:left="720" w:hanging="360"/>
      </w:pPr>
      <w:rPr>
        <w:rFonts w:ascii="Cambria" w:eastAsia="Cambria" w:hAnsi="Cambria" w:cs="Cambria"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34863379"/>
    <w:multiLevelType w:val="multilevel"/>
    <w:tmpl w:val="D78236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4A05E3"/>
    <w:multiLevelType w:val="multilevel"/>
    <w:tmpl w:val="247AD2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7F0EF7"/>
    <w:multiLevelType w:val="hybridMultilevel"/>
    <w:tmpl w:val="58BEE9A6"/>
    <w:lvl w:ilvl="0" w:tplc="D9342DE6">
      <w:start w:val="1"/>
      <w:numFmt w:val="bullet"/>
      <w:lvlText w:val="-"/>
      <w:lvlJc w:val="left"/>
      <w:pPr>
        <w:ind w:left="720" w:hanging="360"/>
      </w:pPr>
      <w:rPr>
        <w:rFonts w:ascii="Cambria" w:eastAsia="Cambria" w:hAnsi="Cambria" w:cs="Cambria"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65C57381"/>
    <w:multiLevelType w:val="multilevel"/>
    <w:tmpl w:val="F6BAF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ukčević Legal">
    <w15:presenceInfo w15:providerId="None" w15:userId="Vukčević Leg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92D"/>
    <w:rsid w:val="00133A27"/>
    <w:rsid w:val="0043692D"/>
    <w:rsid w:val="004E154D"/>
    <w:rsid w:val="00516C5F"/>
    <w:rsid w:val="006E4F8A"/>
    <w:rsid w:val="00B877C0"/>
    <w:rsid w:val="00C23228"/>
    <w:rsid w:val="00C31F68"/>
    <w:rsid w:val="00E63ED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B1E70"/>
  <w15:docId w15:val="{3CE7F619-C5DE-4CB3-A488-BB64BC71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sr" w:eastAsia="sr-Latn-R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 w:type="paragraph" w:styleId="BalloonText">
    <w:name w:val="Balloon Text"/>
    <w:basedOn w:val="Normal"/>
    <w:link w:val="BalloonTextChar"/>
    <w:uiPriority w:val="99"/>
    <w:semiHidden/>
    <w:unhideWhenUsed/>
    <w:rsid w:val="00C232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228"/>
    <w:rPr>
      <w:rFonts w:ascii="Segoe UI" w:hAnsi="Segoe UI" w:cs="Segoe UI"/>
      <w:sz w:val="18"/>
      <w:szCs w:val="18"/>
    </w:rPr>
  </w:style>
  <w:style w:type="character" w:styleId="CommentReference">
    <w:name w:val="annotation reference"/>
    <w:basedOn w:val="DefaultParagraphFont"/>
    <w:uiPriority w:val="99"/>
    <w:semiHidden/>
    <w:unhideWhenUsed/>
    <w:rsid w:val="00C23228"/>
    <w:rPr>
      <w:sz w:val="16"/>
      <w:szCs w:val="16"/>
    </w:rPr>
  </w:style>
  <w:style w:type="paragraph" w:styleId="CommentText">
    <w:name w:val="annotation text"/>
    <w:basedOn w:val="Normal"/>
    <w:link w:val="CommentTextChar"/>
    <w:uiPriority w:val="99"/>
    <w:semiHidden/>
    <w:unhideWhenUsed/>
    <w:rsid w:val="00C23228"/>
    <w:pPr>
      <w:spacing w:line="240" w:lineRule="auto"/>
    </w:pPr>
    <w:rPr>
      <w:sz w:val="20"/>
      <w:szCs w:val="20"/>
    </w:rPr>
  </w:style>
  <w:style w:type="character" w:customStyle="1" w:styleId="CommentTextChar">
    <w:name w:val="Comment Text Char"/>
    <w:basedOn w:val="DefaultParagraphFont"/>
    <w:link w:val="CommentText"/>
    <w:uiPriority w:val="99"/>
    <w:semiHidden/>
    <w:rsid w:val="00C23228"/>
    <w:rPr>
      <w:sz w:val="20"/>
      <w:szCs w:val="20"/>
    </w:rPr>
  </w:style>
  <w:style w:type="paragraph" w:styleId="CommentSubject">
    <w:name w:val="annotation subject"/>
    <w:basedOn w:val="CommentText"/>
    <w:next w:val="CommentText"/>
    <w:link w:val="CommentSubjectChar"/>
    <w:uiPriority w:val="99"/>
    <w:semiHidden/>
    <w:unhideWhenUsed/>
    <w:rsid w:val="00C23228"/>
    <w:rPr>
      <w:b/>
      <w:bCs/>
    </w:rPr>
  </w:style>
  <w:style w:type="character" w:customStyle="1" w:styleId="CommentSubjectChar">
    <w:name w:val="Comment Subject Char"/>
    <w:basedOn w:val="CommentTextChar"/>
    <w:link w:val="CommentSubject"/>
    <w:uiPriority w:val="99"/>
    <w:semiHidden/>
    <w:rsid w:val="00C23228"/>
    <w:rPr>
      <w:b/>
      <w:bCs/>
      <w:sz w:val="20"/>
      <w:szCs w:val="20"/>
    </w:rPr>
  </w:style>
  <w:style w:type="paragraph" w:styleId="ListParagraph">
    <w:name w:val="List Paragraph"/>
    <w:basedOn w:val="Normal"/>
    <w:uiPriority w:val="34"/>
    <w:qFormat/>
    <w:rsid w:val="00133A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comments" Target="comment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microsoft.com/office/2011/relationships/people" Target="people.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efQ5kprwL2KD6rDfwVsd4QBaBw==">CgMxLjA4AHIhMTRnTGsycVJhVlpNRTVfUDN3cG43cTZZZDlzbzJ4M0NY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5B9C7A-21BA-4B71-A07D-4D5375636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3586</Words>
  <Characters>20441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Janko Jaćović</cp:lastModifiedBy>
  <cp:revision>3</cp:revision>
  <dcterms:created xsi:type="dcterms:W3CDTF">2026-07-14T12:17:00Z</dcterms:created>
  <dcterms:modified xsi:type="dcterms:W3CDTF">2026-07-15T08:17:00Z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b1e08125-5068-4b83-b967-a77d80bbf770</vt:lpwstr>
  </property>
</Properties>
</file>